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B3EBB" w14:textId="77777777" w:rsidR="007A2558" w:rsidRPr="00AA16FC" w:rsidRDefault="007A2558" w:rsidP="007A2558">
      <w:pPr>
        <w:rPr>
          <w:sz w:val="22"/>
          <w:szCs w:val="22"/>
        </w:rPr>
      </w:pPr>
      <w:r w:rsidRPr="00AA16FC">
        <w:rPr>
          <w:sz w:val="22"/>
          <w:szCs w:val="22"/>
        </w:rPr>
        <w:t>PREDLAGATELJ:</w:t>
      </w:r>
      <w:r w:rsidRPr="00AA16FC">
        <w:rPr>
          <w:sz w:val="22"/>
          <w:szCs w:val="22"/>
        </w:rPr>
        <w:tab/>
      </w:r>
      <w:r w:rsidRPr="00AA16FC">
        <w:rPr>
          <w:sz w:val="22"/>
          <w:szCs w:val="22"/>
        </w:rPr>
        <w:tab/>
      </w:r>
      <w:r w:rsidRPr="00AA16FC">
        <w:rPr>
          <w:sz w:val="22"/>
          <w:szCs w:val="22"/>
        </w:rPr>
        <w:tab/>
      </w:r>
      <w:r w:rsidRPr="00AA16FC">
        <w:rPr>
          <w:sz w:val="22"/>
          <w:szCs w:val="22"/>
        </w:rPr>
        <w:tab/>
      </w:r>
      <w:r w:rsidRPr="00AA16FC">
        <w:rPr>
          <w:sz w:val="22"/>
          <w:szCs w:val="22"/>
        </w:rPr>
        <w:tab/>
      </w:r>
      <w:r w:rsidRPr="00AA16FC">
        <w:rPr>
          <w:sz w:val="22"/>
          <w:szCs w:val="22"/>
        </w:rPr>
        <w:tab/>
      </w:r>
      <w:r w:rsidRPr="00AA16FC">
        <w:rPr>
          <w:sz w:val="22"/>
          <w:szCs w:val="22"/>
        </w:rPr>
        <w:tab/>
      </w:r>
      <w:r w:rsidRPr="00AA16FC">
        <w:rPr>
          <w:sz w:val="22"/>
          <w:szCs w:val="22"/>
        </w:rPr>
        <w:tab/>
      </w:r>
      <w:r w:rsidRPr="00AA16FC">
        <w:rPr>
          <w:sz w:val="22"/>
          <w:szCs w:val="22"/>
        </w:rPr>
        <w:tab/>
      </w:r>
    </w:p>
    <w:p w14:paraId="7B224480" w14:textId="77777777" w:rsidR="007A2558" w:rsidRPr="00177ECE" w:rsidRDefault="007A2558" w:rsidP="007A2558">
      <w:pPr>
        <w:rPr>
          <w:b/>
          <w:sz w:val="22"/>
          <w:szCs w:val="22"/>
        </w:rPr>
      </w:pPr>
      <w:r w:rsidRPr="00AA16FC">
        <w:rPr>
          <w:sz w:val="22"/>
          <w:szCs w:val="22"/>
        </w:rPr>
        <w:t xml:space="preserve">ŽUPAN </w:t>
      </w:r>
      <w:r w:rsidRPr="00AA16FC">
        <w:rPr>
          <w:sz w:val="22"/>
          <w:szCs w:val="22"/>
        </w:rPr>
        <w:tab/>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AA16FC">
        <w:rPr>
          <w:sz w:val="22"/>
          <w:szCs w:val="22"/>
        </w:rPr>
        <w:tab/>
      </w:r>
      <w:r w:rsidR="00636484">
        <w:rPr>
          <w:sz w:val="22"/>
          <w:szCs w:val="22"/>
        </w:rPr>
        <w:t>OSNUTEK</w:t>
      </w:r>
    </w:p>
    <w:p w14:paraId="6CAAE805" w14:textId="77777777" w:rsidR="007A2558" w:rsidRDefault="007A2558" w:rsidP="007A2558">
      <w:pPr>
        <w:jc w:val="both"/>
        <w:rPr>
          <w:sz w:val="22"/>
          <w:szCs w:val="22"/>
        </w:rPr>
      </w:pPr>
    </w:p>
    <w:p w14:paraId="7393FC07" w14:textId="66E9F85D" w:rsidR="00746438" w:rsidRPr="00E76178" w:rsidRDefault="00746438" w:rsidP="00746438">
      <w:pPr>
        <w:jc w:val="both"/>
        <w:rPr>
          <w:sz w:val="22"/>
          <w:szCs w:val="22"/>
        </w:rPr>
      </w:pPr>
      <w:r w:rsidRPr="00E76178">
        <w:rPr>
          <w:sz w:val="22"/>
          <w:szCs w:val="22"/>
        </w:rPr>
        <w:t xml:space="preserve">Na podlagi 29. člena Zakona o </w:t>
      </w:r>
      <w:r>
        <w:rPr>
          <w:sz w:val="22"/>
          <w:szCs w:val="22"/>
        </w:rPr>
        <w:t>lokalni samoupravi (</w:t>
      </w:r>
      <w:r w:rsidRPr="00E76178">
        <w:rPr>
          <w:sz w:val="22"/>
          <w:szCs w:val="22"/>
        </w:rPr>
        <w:t>Uradni list RS, št. 94/07</w:t>
      </w:r>
      <w:r>
        <w:rPr>
          <w:sz w:val="22"/>
          <w:szCs w:val="22"/>
        </w:rPr>
        <w:t xml:space="preserve"> - uradno prečiščeno besedilo, 76/08, 79/09,  51/10,  40/12 – ZUJF, 14/15 – ZUUJFO, 11/18 – ZSPDSLS-1, 30/18, 61/20 – ZIUZEOP-A in 80/20 </w:t>
      </w:r>
      <w:r w:rsidR="00420678">
        <w:rPr>
          <w:sz w:val="22"/>
          <w:szCs w:val="22"/>
        </w:rPr>
        <w:t>–</w:t>
      </w:r>
      <w:r>
        <w:rPr>
          <w:sz w:val="22"/>
          <w:szCs w:val="22"/>
        </w:rPr>
        <w:t xml:space="preserve"> ZIUOOPE</w:t>
      </w:r>
      <w:r w:rsidR="00420678">
        <w:rPr>
          <w:sz w:val="22"/>
          <w:szCs w:val="22"/>
        </w:rPr>
        <w:t>,62/24-odl.US</w:t>
      </w:r>
      <w:r w:rsidRPr="00E76178">
        <w:rPr>
          <w:sz w:val="22"/>
          <w:szCs w:val="22"/>
        </w:rPr>
        <w:t>), 29. člen</w:t>
      </w:r>
      <w:r>
        <w:rPr>
          <w:sz w:val="22"/>
          <w:szCs w:val="22"/>
        </w:rPr>
        <w:t>a</w:t>
      </w:r>
      <w:r w:rsidRPr="00E76178">
        <w:rPr>
          <w:sz w:val="22"/>
          <w:szCs w:val="22"/>
        </w:rPr>
        <w:t xml:space="preserve"> Zakona o javnih financah (</w:t>
      </w:r>
      <w:r>
        <w:t xml:space="preserve">Uradni list RS, št. 11/11 – uradno prečiščeno besedilo, 14/13 – </w:t>
      </w:r>
      <w:proofErr w:type="spellStart"/>
      <w:r>
        <w:t>popr</w:t>
      </w:r>
      <w:proofErr w:type="spellEnd"/>
      <w:r>
        <w:t xml:space="preserve">., 101/13, 55/15 </w:t>
      </w:r>
      <w:proofErr w:type="spellStart"/>
      <w:r>
        <w:t>ZFisP</w:t>
      </w:r>
      <w:proofErr w:type="spellEnd"/>
      <w:r>
        <w:t>, 96/15 – ZIPRS1617, 13/18, 19</w:t>
      </w:r>
      <w:r w:rsidR="00420678">
        <w:t>5/20 – odl.US, 18/23 – ZDU-10,</w:t>
      </w:r>
      <w:r>
        <w:t xml:space="preserve"> 76/23</w:t>
      </w:r>
      <w:r w:rsidR="00420678">
        <w:t>, 88/23-ZOPNN.F,95/23-ZIUOPZP,117/23-ZIUOPZP-A)</w:t>
      </w:r>
      <w:r w:rsidRPr="00E76178">
        <w:rPr>
          <w:sz w:val="22"/>
          <w:szCs w:val="22"/>
        </w:rPr>
        <w:t>)</w:t>
      </w:r>
      <w:r>
        <w:rPr>
          <w:sz w:val="22"/>
          <w:szCs w:val="22"/>
        </w:rPr>
        <w:t xml:space="preserve"> in</w:t>
      </w:r>
      <w:r w:rsidRPr="00E76178">
        <w:rPr>
          <w:sz w:val="22"/>
          <w:szCs w:val="22"/>
        </w:rPr>
        <w:t xml:space="preserve"> 1</w:t>
      </w:r>
      <w:r>
        <w:rPr>
          <w:sz w:val="22"/>
          <w:szCs w:val="22"/>
        </w:rPr>
        <w:t>7. člena Statuta Občine Šoštanj (</w:t>
      </w:r>
      <w:r w:rsidRPr="00E76178">
        <w:rPr>
          <w:sz w:val="22"/>
          <w:szCs w:val="22"/>
        </w:rPr>
        <w:t>Uradni list  Občine Šoštanj, št.</w:t>
      </w:r>
      <w:r>
        <w:rPr>
          <w:sz w:val="22"/>
          <w:szCs w:val="22"/>
        </w:rPr>
        <w:t xml:space="preserve"> 5/18</w:t>
      </w:r>
      <w:r w:rsidRPr="00E76178">
        <w:rPr>
          <w:sz w:val="22"/>
          <w:szCs w:val="22"/>
        </w:rPr>
        <w:t xml:space="preserve">) je Občinski svet </w:t>
      </w:r>
      <w:r>
        <w:rPr>
          <w:sz w:val="22"/>
          <w:szCs w:val="22"/>
        </w:rPr>
        <w:t xml:space="preserve"> </w:t>
      </w:r>
      <w:r w:rsidRPr="00E76178">
        <w:rPr>
          <w:sz w:val="22"/>
          <w:szCs w:val="22"/>
        </w:rPr>
        <w:t xml:space="preserve">Občine Šoštanj na svoji  </w:t>
      </w:r>
      <w:r>
        <w:rPr>
          <w:sz w:val="22"/>
          <w:szCs w:val="22"/>
        </w:rPr>
        <w:t>_________________ redni</w:t>
      </w:r>
      <w:r w:rsidRPr="00E76178">
        <w:rPr>
          <w:sz w:val="22"/>
          <w:szCs w:val="22"/>
        </w:rPr>
        <w:t xml:space="preserve"> seji, dne</w:t>
      </w:r>
      <w:r>
        <w:rPr>
          <w:sz w:val="22"/>
          <w:szCs w:val="22"/>
        </w:rPr>
        <w:t>, _________________</w:t>
      </w:r>
      <w:r w:rsidRPr="00E76178">
        <w:rPr>
          <w:sz w:val="22"/>
          <w:szCs w:val="22"/>
        </w:rPr>
        <w:t xml:space="preserve"> sprejel</w:t>
      </w:r>
    </w:p>
    <w:p w14:paraId="0F388E42" w14:textId="77777777" w:rsidR="00AA58F0" w:rsidRDefault="00AA58F0">
      <w:pPr>
        <w:jc w:val="both"/>
        <w:rPr>
          <w:sz w:val="22"/>
          <w:szCs w:val="22"/>
        </w:rPr>
      </w:pPr>
    </w:p>
    <w:p w14:paraId="07B63B3E" w14:textId="77777777" w:rsidR="004041FB" w:rsidRDefault="004041FB">
      <w:pPr>
        <w:jc w:val="both"/>
        <w:rPr>
          <w:sz w:val="22"/>
          <w:szCs w:val="22"/>
        </w:rPr>
      </w:pPr>
    </w:p>
    <w:p w14:paraId="750B7503" w14:textId="77777777" w:rsidR="00E76178" w:rsidRPr="009F1C74" w:rsidRDefault="00E76178">
      <w:pPr>
        <w:jc w:val="both"/>
        <w:rPr>
          <w:sz w:val="22"/>
          <w:szCs w:val="22"/>
        </w:rPr>
      </w:pPr>
    </w:p>
    <w:p w14:paraId="5394FCD5" w14:textId="77777777" w:rsidR="002577E3" w:rsidRPr="00E76178" w:rsidRDefault="002577E3">
      <w:pPr>
        <w:jc w:val="center"/>
        <w:rPr>
          <w:b/>
          <w:sz w:val="28"/>
          <w:szCs w:val="28"/>
        </w:rPr>
      </w:pPr>
      <w:r w:rsidRPr="00E76178">
        <w:rPr>
          <w:b/>
          <w:sz w:val="28"/>
          <w:szCs w:val="28"/>
        </w:rPr>
        <w:t xml:space="preserve">ODLOK O </w:t>
      </w:r>
      <w:r w:rsidR="002C5BA6" w:rsidRPr="00E76178">
        <w:rPr>
          <w:b/>
          <w:sz w:val="28"/>
          <w:szCs w:val="28"/>
        </w:rPr>
        <w:t xml:space="preserve"> </w:t>
      </w:r>
      <w:r w:rsidRPr="00E76178">
        <w:rPr>
          <w:b/>
          <w:sz w:val="28"/>
          <w:szCs w:val="28"/>
        </w:rPr>
        <w:t>PRORAČUN</w:t>
      </w:r>
      <w:r w:rsidR="005909EE" w:rsidRPr="00E76178">
        <w:rPr>
          <w:b/>
          <w:sz w:val="28"/>
          <w:szCs w:val="28"/>
        </w:rPr>
        <w:t>U</w:t>
      </w:r>
    </w:p>
    <w:p w14:paraId="15B46441" w14:textId="2B42DD69" w:rsidR="00F666F9" w:rsidRDefault="002577E3" w:rsidP="004041FB">
      <w:pPr>
        <w:jc w:val="center"/>
        <w:rPr>
          <w:b/>
          <w:sz w:val="28"/>
          <w:szCs w:val="28"/>
        </w:rPr>
      </w:pPr>
      <w:r w:rsidRPr="00E76178">
        <w:rPr>
          <w:b/>
          <w:sz w:val="28"/>
          <w:szCs w:val="28"/>
        </w:rPr>
        <w:t xml:space="preserve">OBČINE ŠOŠTANJ ZA LETO </w:t>
      </w:r>
      <w:r w:rsidR="00260042" w:rsidRPr="00E76178">
        <w:rPr>
          <w:b/>
          <w:sz w:val="28"/>
          <w:szCs w:val="28"/>
        </w:rPr>
        <w:t>20</w:t>
      </w:r>
      <w:r w:rsidR="00BD09A5">
        <w:rPr>
          <w:b/>
          <w:sz w:val="28"/>
          <w:szCs w:val="28"/>
        </w:rPr>
        <w:t>2</w:t>
      </w:r>
      <w:r w:rsidR="005E6A84">
        <w:rPr>
          <w:b/>
          <w:sz w:val="28"/>
          <w:szCs w:val="28"/>
        </w:rPr>
        <w:t>5</w:t>
      </w:r>
    </w:p>
    <w:p w14:paraId="4476C22B" w14:textId="77777777" w:rsidR="004041FB" w:rsidRDefault="004041FB" w:rsidP="004041FB">
      <w:pPr>
        <w:jc w:val="center"/>
        <w:rPr>
          <w:b/>
          <w:sz w:val="28"/>
          <w:szCs w:val="28"/>
        </w:rPr>
      </w:pPr>
    </w:p>
    <w:p w14:paraId="1B03BA13" w14:textId="77777777" w:rsidR="00E76178" w:rsidRDefault="00E76178">
      <w:pPr>
        <w:jc w:val="both"/>
        <w:rPr>
          <w:sz w:val="22"/>
          <w:szCs w:val="22"/>
        </w:rPr>
      </w:pPr>
    </w:p>
    <w:p w14:paraId="79062532" w14:textId="77777777" w:rsidR="0025527B" w:rsidRPr="00F05AA8" w:rsidRDefault="0025527B">
      <w:pPr>
        <w:jc w:val="both"/>
        <w:rPr>
          <w:b/>
          <w:sz w:val="22"/>
          <w:szCs w:val="22"/>
        </w:rPr>
      </w:pPr>
      <w:r w:rsidRPr="00F05AA8">
        <w:rPr>
          <w:b/>
          <w:sz w:val="22"/>
          <w:szCs w:val="22"/>
        </w:rPr>
        <w:t>1. SPLOŠNA DOLOČBA</w:t>
      </w:r>
    </w:p>
    <w:p w14:paraId="7BCDD523" w14:textId="77777777" w:rsidR="002577E3" w:rsidRPr="00F05AA8" w:rsidRDefault="002711E9" w:rsidP="00F05AA8">
      <w:pPr>
        <w:ind w:left="360"/>
        <w:jc w:val="center"/>
        <w:rPr>
          <w:b/>
        </w:rPr>
      </w:pPr>
      <w:r w:rsidRPr="00F05AA8">
        <w:rPr>
          <w:b/>
        </w:rPr>
        <w:t xml:space="preserve">1. </w:t>
      </w:r>
      <w:r w:rsidR="002577E3" w:rsidRPr="00F05AA8">
        <w:rPr>
          <w:b/>
        </w:rPr>
        <w:t>člen</w:t>
      </w:r>
    </w:p>
    <w:p w14:paraId="2276A829" w14:textId="67FCB681" w:rsidR="00741AA7" w:rsidRPr="00E76178" w:rsidRDefault="00741AA7" w:rsidP="00741AA7">
      <w:pPr>
        <w:jc w:val="both"/>
      </w:pPr>
      <w:r w:rsidRPr="00E76178">
        <w:t>S tem odlokom se za Občino Šoštanj za leto 20</w:t>
      </w:r>
      <w:r w:rsidR="00BD09A5">
        <w:t>2</w:t>
      </w:r>
      <w:r w:rsidR="005E6A84">
        <w:t>5</w:t>
      </w:r>
      <w:r w:rsidRPr="00E76178">
        <w:t xml:space="preserve"> določajo proračun</w:t>
      </w:r>
      <w:r w:rsidR="0025527B">
        <w:t xml:space="preserve">, </w:t>
      </w:r>
      <w:r w:rsidRPr="00E76178">
        <w:t>postopki izvrševanja proračuna</w:t>
      </w:r>
      <w:r w:rsidR="0025527B">
        <w:t xml:space="preserve"> ter obseg zadolževanja in poroštev občine in javnega sektorja na ravni občine</w:t>
      </w:r>
      <w:r w:rsidRPr="00E76178">
        <w:t xml:space="preserve"> (v nadaljnjem besedilu: proračun).</w:t>
      </w:r>
    </w:p>
    <w:p w14:paraId="3D1DFDE4" w14:textId="77777777" w:rsidR="008A1D03" w:rsidRDefault="008A1D03" w:rsidP="00741AA7">
      <w:pPr>
        <w:jc w:val="both"/>
      </w:pPr>
    </w:p>
    <w:p w14:paraId="42A1FB3B" w14:textId="77777777" w:rsidR="00291FBD" w:rsidRPr="00F05AA8" w:rsidRDefault="00291FBD" w:rsidP="00741AA7">
      <w:pPr>
        <w:jc w:val="both"/>
        <w:rPr>
          <w:b/>
          <w:sz w:val="22"/>
          <w:szCs w:val="22"/>
        </w:rPr>
      </w:pPr>
      <w:r w:rsidRPr="00F05AA8">
        <w:rPr>
          <w:b/>
          <w:sz w:val="22"/>
          <w:szCs w:val="22"/>
        </w:rPr>
        <w:t>2. VIŠINA SPLOŠNEGA DELA PRORAČUNA IN STRUKTURA POSEBNEGA DELA PRORAČUNA</w:t>
      </w:r>
    </w:p>
    <w:p w14:paraId="5B2FD362" w14:textId="77777777" w:rsidR="00BE1C53" w:rsidRPr="00F05AA8" w:rsidRDefault="00BE1C53" w:rsidP="00741AA7">
      <w:pPr>
        <w:jc w:val="both"/>
        <w:rPr>
          <w:b/>
        </w:rPr>
      </w:pPr>
    </w:p>
    <w:p w14:paraId="54CD4558" w14:textId="77777777" w:rsidR="00F02153" w:rsidRPr="00F05AA8" w:rsidRDefault="00E76178" w:rsidP="00F05AA8">
      <w:pPr>
        <w:jc w:val="center"/>
        <w:rPr>
          <w:b/>
        </w:rPr>
      </w:pPr>
      <w:r w:rsidRPr="00F05AA8">
        <w:rPr>
          <w:b/>
        </w:rPr>
        <w:t xml:space="preserve">    </w:t>
      </w:r>
      <w:r w:rsidR="00741AA7" w:rsidRPr="00F05AA8">
        <w:rPr>
          <w:b/>
        </w:rPr>
        <w:t>2. člen</w:t>
      </w:r>
    </w:p>
    <w:p w14:paraId="61EA2CA4" w14:textId="77777777" w:rsidR="00741AA7" w:rsidRDefault="00177ECE" w:rsidP="00741AA7">
      <w:pPr>
        <w:jc w:val="both"/>
      </w:pPr>
      <w:r>
        <w:t>V splošnem delu proračuna so prikazani prej</w:t>
      </w:r>
      <w:r w:rsidR="00E3533E">
        <w:t>e</w:t>
      </w:r>
      <w:r>
        <w:t>mki in izdatki po ekonomski klasifikaciji do ravni kontov</w:t>
      </w:r>
      <w:r w:rsidR="00746438">
        <w:t>.</w:t>
      </w:r>
    </w:p>
    <w:p w14:paraId="6FBF6A17" w14:textId="77777777" w:rsidR="00746438" w:rsidRPr="00E76178" w:rsidRDefault="00746438" w:rsidP="00741AA7">
      <w:pPr>
        <w:jc w:val="both"/>
      </w:pPr>
    </w:p>
    <w:p w14:paraId="1D55DE62" w14:textId="77777777" w:rsidR="0018365B" w:rsidRDefault="00741AA7" w:rsidP="00741AA7">
      <w:pPr>
        <w:jc w:val="both"/>
      </w:pPr>
      <w:r w:rsidRPr="00E76178">
        <w:t xml:space="preserve">Splošni del proračuna </w:t>
      </w:r>
      <w:r w:rsidR="00177ECE">
        <w:t xml:space="preserve">se </w:t>
      </w:r>
      <w:r w:rsidRPr="00E76178">
        <w:t>na ravni podskupin kontov določa v naslednjih zneskih:</w:t>
      </w:r>
    </w:p>
    <w:tbl>
      <w:tblPr>
        <w:tblW w:w="8331" w:type="dxa"/>
        <w:tblCellMar>
          <w:left w:w="70" w:type="dxa"/>
          <w:right w:w="70" w:type="dxa"/>
        </w:tblCellMar>
        <w:tblLook w:val="04A0" w:firstRow="1" w:lastRow="0" w:firstColumn="1" w:lastColumn="0" w:noHBand="0" w:noVBand="1"/>
      </w:tblPr>
      <w:tblGrid>
        <w:gridCol w:w="600"/>
        <w:gridCol w:w="11"/>
        <w:gridCol w:w="6369"/>
        <w:gridCol w:w="11"/>
        <w:gridCol w:w="1329"/>
        <w:gridCol w:w="11"/>
      </w:tblGrid>
      <w:tr w:rsidR="00746438" w14:paraId="4399E26D" w14:textId="77777777" w:rsidTr="00EE162A">
        <w:trPr>
          <w:trHeight w:val="255"/>
        </w:trPr>
        <w:tc>
          <w:tcPr>
            <w:tcW w:w="611" w:type="dxa"/>
            <w:gridSpan w:val="2"/>
            <w:tcBorders>
              <w:top w:val="single" w:sz="4" w:space="0" w:color="auto"/>
              <w:left w:val="nil"/>
              <w:bottom w:val="single" w:sz="4" w:space="0" w:color="auto"/>
              <w:right w:val="nil"/>
            </w:tcBorders>
            <w:shd w:val="clear" w:color="auto" w:fill="auto"/>
            <w:noWrap/>
            <w:vAlign w:val="bottom"/>
            <w:hideMark/>
          </w:tcPr>
          <w:p w14:paraId="024109FB" w14:textId="77777777" w:rsidR="00746438" w:rsidRDefault="00746438">
            <w:pPr>
              <w:rPr>
                <w:rFonts w:ascii="Arial CE" w:hAnsi="Arial CE" w:cs="Arial CE"/>
                <w:sz w:val="20"/>
                <w:szCs w:val="20"/>
              </w:rPr>
            </w:pPr>
            <w:r>
              <w:rPr>
                <w:rFonts w:ascii="Arial CE" w:hAnsi="Arial CE" w:cs="Arial CE"/>
                <w:sz w:val="20"/>
                <w:szCs w:val="20"/>
              </w:rPr>
              <w:t> </w:t>
            </w:r>
          </w:p>
        </w:tc>
        <w:tc>
          <w:tcPr>
            <w:tcW w:w="6380" w:type="dxa"/>
            <w:gridSpan w:val="2"/>
            <w:tcBorders>
              <w:top w:val="single" w:sz="4" w:space="0" w:color="auto"/>
              <w:left w:val="nil"/>
              <w:bottom w:val="single" w:sz="4" w:space="0" w:color="auto"/>
              <w:right w:val="nil"/>
            </w:tcBorders>
            <w:shd w:val="clear" w:color="auto" w:fill="auto"/>
            <w:noWrap/>
            <w:vAlign w:val="bottom"/>
            <w:hideMark/>
          </w:tcPr>
          <w:p w14:paraId="14289463" w14:textId="77777777" w:rsidR="00746438" w:rsidRDefault="00746438">
            <w:pPr>
              <w:rPr>
                <w:rFonts w:ascii="Arial CE" w:hAnsi="Arial CE" w:cs="Arial CE"/>
                <w:sz w:val="20"/>
                <w:szCs w:val="20"/>
              </w:rPr>
            </w:pPr>
            <w:r>
              <w:rPr>
                <w:rFonts w:ascii="Arial CE" w:hAnsi="Arial CE" w:cs="Arial CE"/>
                <w:sz w:val="20"/>
                <w:szCs w:val="20"/>
              </w:rPr>
              <w:t xml:space="preserve">Konto - opis                                                              </w:t>
            </w:r>
          </w:p>
        </w:tc>
        <w:tc>
          <w:tcPr>
            <w:tcW w:w="1340" w:type="dxa"/>
            <w:gridSpan w:val="2"/>
            <w:tcBorders>
              <w:top w:val="single" w:sz="4" w:space="0" w:color="auto"/>
              <w:left w:val="nil"/>
              <w:bottom w:val="single" w:sz="4" w:space="0" w:color="auto"/>
              <w:right w:val="nil"/>
            </w:tcBorders>
            <w:shd w:val="clear" w:color="auto" w:fill="auto"/>
            <w:noWrap/>
            <w:vAlign w:val="bottom"/>
            <w:hideMark/>
          </w:tcPr>
          <w:p w14:paraId="73D16844" w14:textId="77777777" w:rsidR="00746438" w:rsidRDefault="00746438">
            <w:pPr>
              <w:jc w:val="right"/>
              <w:rPr>
                <w:rFonts w:ascii="Arial CE" w:hAnsi="Arial CE" w:cs="Arial CE"/>
                <w:b/>
                <w:bCs/>
                <w:sz w:val="20"/>
                <w:szCs w:val="20"/>
              </w:rPr>
            </w:pPr>
            <w:r>
              <w:rPr>
                <w:rFonts w:ascii="Arial CE" w:hAnsi="Arial CE" w:cs="Arial CE"/>
                <w:b/>
                <w:bCs/>
                <w:sz w:val="20"/>
                <w:szCs w:val="20"/>
              </w:rPr>
              <w:t xml:space="preserve"> </w:t>
            </w:r>
          </w:p>
        </w:tc>
      </w:tr>
      <w:tr w:rsidR="00746438" w14:paraId="53FDD51C" w14:textId="77777777" w:rsidTr="00EE162A">
        <w:trPr>
          <w:trHeight w:val="315"/>
        </w:trPr>
        <w:tc>
          <w:tcPr>
            <w:tcW w:w="611" w:type="dxa"/>
            <w:gridSpan w:val="2"/>
            <w:tcBorders>
              <w:top w:val="nil"/>
              <w:left w:val="nil"/>
              <w:bottom w:val="single" w:sz="4" w:space="0" w:color="auto"/>
              <w:right w:val="nil"/>
            </w:tcBorders>
            <w:shd w:val="clear" w:color="auto" w:fill="auto"/>
            <w:noWrap/>
            <w:vAlign w:val="bottom"/>
            <w:hideMark/>
          </w:tcPr>
          <w:p w14:paraId="019054D4" w14:textId="77777777" w:rsidR="00746438" w:rsidRDefault="00746438">
            <w:pPr>
              <w:rPr>
                <w:b/>
                <w:bCs/>
              </w:rPr>
            </w:pPr>
            <w:r>
              <w:rPr>
                <w:b/>
                <w:bCs/>
              </w:rPr>
              <w:t xml:space="preserve">A </w:t>
            </w:r>
          </w:p>
        </w:tc>
        <w:tc>
          <w:tcPr>
            <w:tcW w:w="6380" w:type="dxa"/>
            <w:gridSpan w:val="2"/>
            <w:tcBorders>
              <w:top w:val="nil"/>
              <w:left w:val="nil"/>
              <w:bottom w:val="single" w:sz="4" w:space="0" w:color="auto"/>
              <w:right w:val="nil"/>
            </w:tcBorders>
            <w:shd w:val="clear" w:color="auto" w:fill="auto"/>
            <w:noWrap/>
            <w:vAlign w:val="bottom"/>
            <w:hideMark/>
          </w:tcPr>
          <w:p w14:paraId="19130BB4" w14:textId="77777777" w:rsidR="00746438" w:rsidRDefault="00746438">
            <w:pPr>
              <w:rPr>
                <w:b/>
                <w:bCs/>
              </w:rPr>
            </w:pPr>
            <w:r>
              <w:rPr>
                <w:b/>
                <w:bCs/>
              </w:rPr>
              <w:t>BILANCA PRIHODKOV IN ODHODKOV</w:t>
            </w:r>
          </w:p>
        </w:tc>
        <w:tc>
          <w:tcPr>
            <w:tcW w:w="1340" w:type="dxa"/>
            <w:gridSpan w:val="2"/>
            <w:tcBorders>
              <w:top w:val="nil"/>
              <w:left w:val="nil"/>
              <w:bottom w:val="single" w:sz="4" w:space="0" w:color="auto"/>
              <w:right w:val="nil"/>
            </w:tcBorders>
            <w:shd w:val="clear" w:color="auto" w:fill="auto"/>
            <w:noWrap/>
            <w:vAlign w:val="bottom"/>
            <w:hideMark/>
          </w:tcPr>
          <w:p w14:paraId="0AB4C532" w14:textId="42385BBD" w:rsidR="00746438" w:rsidRDefault="00746438">
            <w:pPr>
              <w:jc w:val="right"/>
              <w:rPr>
                <w:b/>
                <w:bCs/>
                <w:sz w:val="22"/>
                <w:szCs w:val="22"/>
              </w:rPr>
            </w:pPr>
            <w:r>
              <w:rPr>
                <w:b/>
                <w:bCs/>
                <w:sz w:val="22"/>
                <w:szCs w:val="22"/>
              </w:rPr>
              <w:t>leto 202</w:t>
            </w:r>
            <w:r w:rsidR="005E6A84">
              <w:rPr>
                <w:b/>
                <w:bCs/>
                <w:sz w:val="22"/>
                <w:szCs w:val="22"/>
              </w:rPr>
              <w:t>5</w:t>
            </w:r>
          </w:p>
        </w:tc>
      </w:tr>
      <w:tr w:rsidR="00746438" w14:paraId="6B52C7FD" w14:textId="77777777" w:rsidTr="00EE162A">
        <w:trPr>
          <w:trHeight w:val="285"/>
        </w:trPr>
        <w:tc>
          <w:tcPr>
            <w:tcW w:w="611" w:type="dxa"/>
            <w:gridSpan w:val="2"/>
            <w:tcBorders>
              <w:top w:val="nil"/>
              <w:left w:val="nil"/>
              <w:bottom w:val="nil"/>
              <w:right w:val="nil"/>
            </w:tcBorders>
            <w:shd w:val="clear" w:color="auto" w:fill="auto"/>
            <w:noWrap/>
            <w:vAlign w:val="bottom"/>
            <w:hideMark/>
          </w:tcPr>
          <w:p w14:paraId="4BE56F5F" w14:textId="77777777" w:rsidR="00746438" w:rsidRDefault="00746438">
            <w:pPr>
              <w:rPr>
                <w:b/>
                <w:bCs/>
                <w:sz w:val="22"/>
                <w:szCs w:val="22"/>
              </w:rPr>
            </w:pPr>
            <w:r>
              <w:rPr>
                <w:b/>
                <w:bCs/>
                <w:sz w:val="22"/>
                <w:szCs w:val="22"/>
              </w:rPr>
              <w:t>I.</w:t>
            </w:r>
          </w:p>
        </w:tc>
        <w:tc>
          <w:tcPr>
            <w:tcW w:w="6380" w:type="dxa"/>
            <w:gridSpan w:val="2"/>
            <w:tcBorders>
              <w:top w:val="nil"/>
              <w:left w:val="nil"/>
              <w:bottom w:val="nil"/>
              <w:right w:val="nil"/>
            </w:tcBorders>
            <w:shd w:val="clear" w:color="auto" w:fill="auto"/>
            <w:noWrap/>
            <w:vAlign w:val="bottom"/>
            <w:hideMark/>
          </w:tcPr>
          <w:p w14:paraId="3BEE69BA" w14:textId="77777777" w:rsidR="00746438" w:rsidRDefault="00746438">
            <w:pPr>
              <w:rPr>
                <w:b/>
                <w:bCs/>
                <w:sz w:val="22"/>
                <w:szCs w:val="22"/>
              </w:rPr>
            </w:pPr>
            <w:r>
              <w:rPr>
                <w:b/>
                <w:bCs/>
                <w:sz w:val="22"/>
                <w:szCs w:val="22"/>
              </w:rPr>
              <w:t>SKUPAJ PRIHODKI (70+71+72+73+74)</w:t>
            </w:r>
          </w:p>
        </w:tc>
        <w:tc>
          <w:tcPr>
            <w:tcW w:w="1340" w:type="dxa"/>
            <w:gridSpan w:val="2"/>
            <w:tcBorders>
              <w:top w:val="nil"/>
              <w:left w:val="nil"/>
              <w:bottom w:val="nil"/>
              <w:right w:val="nil"/>
            </w:tcBorders>
            <w:shd w:val="clear" w:color="auto" w:fill="auto"/>
            <w:noWrap/>
            <w:vAlign w:val="bottom"/>
            <w:hideMark/>
          </w:tcPr>
          <w:p w14:paraId="445AD2B8" w14:textId="562AB54D" w:rsidR="00746438" w:rsidRDefault="005E6A84">
            <w:pPr>
              <w:jc w:val="right"/>
              <w:rPr>
                <w:b/>
                <w:bCs/>
                <w:sz w:val="22"/>
                <w:szCs w:val="22"/>
              </w:rPr>
            </w:pPr>
            <w:r>
              <w:rPr>
                <w:b/>
                <w:bCs/>
                <w:sz w:val="22"/>
                <w:szCs w:val="22"/>
              </w:rPr>
              <w:t>50.267.975</w:t>
            </w:r>
          </w:p>
        </w:tc>
      </w:tr>
      <w:tr w:rsidR="00746438" w14:paraId="05249CB4"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61CF2B5F" w14:textId="77777777" w:rsidR="00746438" w:rsidRDefault="00746438">
            <w:pPr>
              <w:jc w:val="right"/>
              <w:rPr>
                <w:b/>
                <w:bCs/>
                <w:sz w:val="22"/>
                <w:szCs w:val="22"/>
              </w:rPr>
            </w:pPr>
          </w:p>
        </w:tc>
        <w:tc>
          <w:tcPr>
            <w:tcW w:w="6380" w:type="dxa"/>
            <w:gridSpan w:val="2"/>
            <w:tcBorders>
              <w:top w:val="nil"/>
              <w:left w:val="nil"/>
              <w:bottom w:val="nil"/>
              <w:right w:val="nil"/>
            </w:tcBorders>
            <w:shd w:val="clear" w:color="auto" w:fill="auto"/>
            <w:noWrap/>
            <w:vAlign w:val="bottom"/>
            <w:hideMark/>
          </w:tcPr>
          <w:p w14:paraId="63BFBC18" w14:textId="77777777" w:rsidR="00746438" w:rsidRDefault="00746438">
            <w:pPr>
              <w:rPr>
                <w:b/>
                <w:bCs/>
                <w:sz w:val="20"/>
                <w:szCs w:val="20"/>
              </w:rPr>
            </w:pPr>
            <w:r>
              <w:rPr>
                <w:b/>
                <w:bCs/>
                <w:sz w:val="20"/>
                <w:szCs w:val="20"/>
              </w:rPr>
              <w:t>70  DAVČNI PRIHODKI</w:t>
            </w:r>
          </w:p>
        </w:tc>
        <w:tc>
          <w:tcPr>
            <w:tcW w:w="1340" w:type="dxa"/>
            <w:gridSpan w:val="2"/>
            <w:tcBorders>
              <w:top w:val="nil"/>
              <w:left w:val="nil"/>
              <w:bottom w:val="nil"/>
              <w:right w:val="nil"/>
            </w:tcBorders>
            <w:shd w:val="clear" w:color="auto" w:fill="auto"/>
            <w:noWrap/>
            <w:vAlign w:val="bottom"/>
            <w:hideMark/>
          </w:tcPr>
          <w:p w14:paraId="4D9FC3BA" w14:textId="45E515B9" w:rsidR="00746438" w:rsidRDefault="005E6A84">
            <w:pPr>
              <w:jc w:val="right"/>
              <w:rPr>
                <w:b/>
                <w:bCs/>
                <w:sz w:val="20"/>
                <w:szCs w:val="20"/>
              </w:rPr>
            </w:pPr>
            <w:r>
              <w:rPr>
                <w:b/>
                <w:bCs/>
                <w:sz w:val="20"/>
                <w:szCs w:val="20"/>
              </w:rPr>
              <w:t>13.478.210</w:t>
            </w:r>
          </w:p>
        </w:tc>
      </w:tr>
      <w:tr w:rsidR="00746438" w14:paraId="61F26BEF"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689C489B" w14:textId="77777777" w:rsidR="00746438" w:rsidRDefault="00746438">
            <w:pPr>
              <w:jc w:val="right"/>
              <w:rPr>
                <w:b/>
                <w:bCs/>
                <w:sz w:val="20"/>
                <w:szCs w:val="20"/>
              </w:rPr>
            </w:pPr>
          </w:p>
        </w:tc>
        <w:tc>
          <w:tcPr>
            <w:tcW w:w="6380" w:type="dxa"/>
            <w:gridSpan w:val="2"/>
            <w:tcBorders>
              <w:top w:val="nil"/>
              <w:left w:val="nil"/>
              <w:bottom w:val="nil"/>
              <w:right w:val="nil"/>
            </w:tcBorders>
            <w:shd w:val="clear" w:color="auto" w:fill="auto"/>
            <w:noWrap/>
            <w:vAlign w:val="bottom"/>
            <w:hideMark/>
          </w:tcPr>
          <w:p w14:paraId="4E9A4A62" w14:textId="77777777" w:rsidR="00746438" w:rsidRDefault="00746438">
            <w:pPr>
              <w:rPr>
                <w:sz w:val="20"/>
                <w:szCs w:val="20"/>
              </w:rPr>
            </w:pPr>
            <w:r>
              <w:rPr>
                <w:sz w:val="20"/>
                <w:szCs w:val="20"/>
              </w:rPr>
              <w:t>700 Davki na dohodek in dobiček</w:t>
            </w:r>
          </w:p>
        </w:tc>
        <w:tc>
          <w:tcPr>
            <w:tcW w:w="1340" w:type="dxa"/>
            <w:gridSpan w:val="2"/>
            <w:tcBorders>
              <w:top w:val="nil"/>
              <w:left w:val="nil"/>
              <w:bottom w:val="nil"/>
              <w:right w:val="nil"/>
            </w:tcBorders>
            <w:shd w:val="clear" w:color="auto" w:fill="auto"/>
            <w:noWrap/>
            <w:vAlign w:val="bottom"/>
            <w:hideMark/>
          </w:tcPr>
          <w:p w14:paraId="102476E8" w14:textId="2A2D8B58" w:rsidR="00746438" w:rsidRDefault="005E6A84">
            <w:pPr>
              <w:jc w:val="right"/>
              <w:rPr>
                <w:sz w:val="20"/>
                <w:szCs w:val="20"/>
              </w:rPr>
            </w:pPr>
            <w:r>
              <w:rPr>
                <w:sz w:val="20"/>
                <w:szCs w:val="20"/>
              </w:rPr>
              <w:t>7.083.060</w:t>
            </w:r>
          </w:p>
        </w:tc>
      </w:tr>
      <w:tr w:rsidR="00746438" w14:paraId="0AE6654F"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2C239EDF"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6D928BD4" w14:textId="77777777" w:rsidR="00746438" w:rsidRDefault="00746438">
            <w:pPr>
              <w:rPr>
                <w:sz w:val="20"/>
                <w:szCs w:val="20"/>
              </w:rPr>
            </w:pPr>
            <w:r>
              <w:rPr>
                <w:sz w:val="20"/>
                <w:szCs w:val="20"/>
              </w:rPr>
              <w:t>703 Davki na premoženje</w:t>
            </w:r>
          </w:p>
        </w:tc>
        <w:tc>
          <w:tcPr>
            <w:tcW w:w="1340" w:type="dxa"/>
            <w:gridSpan w:val="2"/>
            <w:tcBorders>
              <w:top w:val="nil"/>
              <w:left w:val="nil"/>
              <w:bottom w:val="nil"/>
              <w:right w:val="nil"/>
            </w:tcBorders>
            <w:shd w:val="clear" w:color="auto" w:fill="auto"/>
            <w:noWrap/>
            <w:vAlign w:val="bottom"/>
            <w:hideMark/>
          </w:tcPr>
          <w:p w14:paraId="2A0B3469" w14:textId="41C01CBD" w:rsidR="00746438" w:rsidRDefault="005E6A84">
            <w:pPr>
              <w:jc w:val="right"/>
              <w:rPr>
                <w:sz w:val="20"/>
                <w:szCs w:val="20"/>
              </w:rPr>
            </w:pPr>
            <w:r>
              <w:rPr>
                <w:sz w:val="20"/>
                <w:szCs w:val="20"/>
              </w:rPr>
              <w:t>6.193.500</w:t>
            </w:r>
          </w:p>
        </w:tc>
      </w:tr>
      <w:tr w:rsidR="00746438" w14:paraId="79AA1796"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43C92DEA"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17F335EA" w14:textId="77777777" w:rsidR="00746438" w:rsidRDefault="00746438">
            <w:pPr>
              <w:rPr>
                <w:sz w:val="20"/>
                <w:szCs w:val="20"/>
              </w:rPr>
            </w:pPr>
            <w:r>
              <w:rPr>
                <w:sz w:val="20"/>
                <w:szCs w:val="20"/>
              </w:rPr>
              <w:t>704 Domači davki na blago in storitve</w:t>
            </w:r>
          </w:p>
        </w:tc>
        <w:tc>
          <w:tcPr>
            <w:tcW w:w="1340" w:type="dxa"/>
            <w:gridSpan w:val="2"/>
            <w:tcBorders>
              <w:top w:val="nil"/>
              <w:left w:val="nil"/>
              <w:bottom w:val="nil"/>
              <w:right w:val="nil"/>
            </w:tcBorders>
            <w:shd w:val="clear" w:color="auto" w:fill="auto"/>
            <w:noWrap/>
            <w:vAlign w:val="bottom"/>
            <w:hideMark/>
          </w:tcPr>
          <w:p w14:paraId="6868058E" w14:textId="6BF5A11A" w:rsidR="00746438" w:rsidRDefault="005E6A84">
            <w:pPr>
              <w:jc w:val="right"/>
              <w:rPr>
                <w:sz w:val="20"/>
                <w:szCs w:val="20"/>
              </w:rPr>
            </w:pPr>
            <w:r>
              <w:rPr>
                <w:sz w:val="20"/>
                <w:szCs w:val="20"/>
              </w:rPr>
              <w:t>201.650</w:t>
            </w:r>
          </w:p>
        </w:tc>
      </w:tr>
      <w:tr w:rsidR="00746438" w14:paraId="44EB2FA4"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0D57D121"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7CFE875F" w14:textId="77777777" w:rsidR="00746438" w:rsidRDefault="00746438">
            <w:pPr>
              <w:rPr>
                <w:b/>
                <w:bCs/>
                <w:sz w:val="20"/>
                <w:szCs w:val="20"/>
              </w:rPr>
            </w:pPr>
            <w:r>
              <w:rPr>
                <w:b/>
                <w:bCs/>
                <w:sz w:val="20"/>
                <w:szCs w:val="20"/>
              </w:rPr>
              <w:t xml:space="preserve">71  NEDAVČNI PRIHODKI </w:t>
            </w:r>
          </w:p>
        </w:tc>
        <w:tc>
          <w:tcPr>
            <w:tcW w:w="1340" w:type="dxa"/>
            <w:gridSpan w:val="2"/>
            <w:tcBorders>
              <w:top w:val="nil"/>
              <w:left w:val="nil"/>
              <w:bottom w:val="nil"/>
              <w:right w:val="nil"/>
            </w:tcBorders>
            <w:shd w:val="clear" w:color="auto" w:fill="auto"/>
            <w:noWrap/>
            <w:vAlign w:val="bottom"/>
            <w:hideMark/>
          </w:tcPr>
          <w:p w14:paraId="4B9C440B" w14:textId="2B9AF304" w:rsidR="00746438" w:rsidRDefault="005E6A84">
            <w:pPr>
              <w:jc w:val="right"/>
              <w:rPr>
                <w:b/>
                <w:bCs/>
                <w:sz w:val="20"/>
                <w:szCs w:val="20"/>
              </w:rPr>
            </w:pPr>
            <w:r>
              <w:rPr>
                <w:b/>
                <w:bCs/>
                <w:sz w:val="20"/>
                <w:szCs w:val="20"/>
              </w:rPr>
              <w:t>2.112.898</w:t>
            </w:r>
          </w:p>
        </w:tc>
      </w:tr>
      <w:tr w:rsidR="00746438" w14:paraId="08C59DC0"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0D8F71A9" w14:textId="77777777" w:rsidR="00746438" w:rsidRDefault="00746438">
            <w:pPr>
              <w:jc w:val="right"/>
              <w:rPr>
                <w:b/>
                <w:bCs/>
                <w:sz w:val="20"/>
                <w:szCs w:val="20"/>
              </w:rPr>
            </w:pPr>
          </w:p>
        </w:tc>
        <w:tc>
          <w:tcPr>
            <w:tcW w:w="6380" w:type="dxa"/>
            <w:gridSpan w:val="2"/>
            <w:tcBorders>
              <w:top w:val="nil"/>
              <w:left w:val="nil"/>
              <w:bottom w:val="nil"/>
              <w:right w:val="nil"/>
            </w:tcBorders>
            <w:shd w:val="clear" w:color="auto" w:fill="auto"/>
            <w:noWrap/>
            <w:vAlign w:val="bottom"/>
            <w:hideMark/>
          </w:tcPr>
          <w:p w14:paraId="53081405" w14:textId="77777777" w:rsidR="00746438" w:rsidRDefault="00746438">
            <w:pPr>
              <w:rPr>
                <w:sz w:val="20"/>
                <w:szCs w:val="20"/>
              </w:rPr>
            </w:pPr>
            <w:r>
              <w:rPr>
                <w:sz w:val="20"/>
                <w:szCs w:val="20"/>
              </w:rPr>
              <w:t>710 Udeležba na dobičku in dohodki od premoženja</w:t>
            </w:r>
          </w:p>
        </w:tc>
        <w:tc>
          <w:tcPr>
            <w:tcW w:w="1340" w:type="dxa"/>
            <w:gridSpan w:val="2"/>
            <w:tcBorders>
              <w:top w:val="nil"/>
              <w:left w:val="nil"/>
              <w:bottom w:val="nil"/>
              <w:right w:val="nil"/>
            </w:tcBorders>
            <w:shd w:val="clear" w:color="auto" w:fill="auto"/>
            <w:noWrap/>
            <w:vAlign w:val="bottom"/>
            <w:hideMark/>
          </w:tcPr>
          <w:p w14:paraId="77F4E36C" w14:textId="5D86FC22" w:rsidR="00746438" w:rsidRDefault="005E6A84">
            <w:pPr>
              <w:jc w:val="right"/>
              <w:rPr>
                <w:sz w:val="20"/>
                <w:szCs w:val="20"/>
              </w:rPr>
            </w:pPr>
            <w:r>
              <w:rPr>
                <w:sz w:val="20"/>
                <w:szCs w:val="20"/>
              </w:rPr>
              <w:t>1.827.522</w:t>
            </w:r>
          </w:p>
        </w:tc>
      </w:tr>
      <w:tr w:rsidR="00746438" w14:paraId="5812F989"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20417770"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0A8FCF5E" w14:textId="77777777" w:rsidR="00746438" w:rsidRDefault="00746438">
            <w:pPr>
              <w:rPr>
                <w:sz w:val="20"/>
                <w:szCs w:val="20"/>
              </w:rPr>
            </w:pPr>
            <w:r>
              <w:rPr>
                <w:sz w:val="20"/>
                <w:szCs w:val="20"/>
              </w:rPr>
              <w:t>711 Takse in pristojbine</w:t>
            </w:r>
          </w:p>
        </w:tc>
        <w:tc>
          <w:tcPr>
            <w:tcW w:w="1340" w:type="dxa"/>
            <w:gridSpan w:val="2"/>
            <w:tcBorders>
              <w:top w:val="nil"/>
              <w:left w:val="nil"/>
              <w:bottom w:val="nil"/>
              <w:right w:val="nil"/>
            </w:tcBorders>
            <w:shd w:val="clear" w:color="auto" w:fill="auto"/>
            <w:noWrap/>
            <w:vAlign w:val="bottom"/>
            <w:hideMark/>
          </w:tcPr>
          <w:p w14:paraId="4A130E28" w14:textId="77777777" w:rsidR="00746438" w:rsidRDefault="00746438">
            <w:pPr>
              <w:jc w:val="right"/>
              <w:rPr>
                <w:sz w:val="20"/>
                <w:szCs w:val="20"/>
              </w:rPr>
            </w:pPr>
            <w:r>
              <w:rPr>
                <w:sz w:val="20"/>
                <w:szCs w:val="20"/>
              </w:rPr>
              <w:t>10.000</w:t>
            </w:r>
          </w:p>
        </w:tc>
      </w:tr>
      <w:tr w:rsidR="00746438" w14:paraId="64B43CFA"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6AFBD0E9"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598A7A2C" w14:textId="77777777" w:rsidR="00746438" w:rsidRDefault="00746438">
            <w:pPr>
              <w:rPr>
                <w:sz w:val="20"/>
                <w:szCs w:val="20"/>
              </w:rPr>
            </w:pPr>
            <w:r>
              <w:rPr>
                <w:sz w:val="20"/>
                <w:szCs w:val="20"/>
              </w:rPr>
              <w:t>712 Globe in druge denarne kazni</w:t>
            </w:r>
          </w:p>
        </w:tc>
        <w:tc>
          <w:tcPr>
            <w:tcW w:w="1340" w:type="dxa"/>
            <w:gridSpan w:val="2"/>
            <w:tcBorders>
              <w:top w:val="nil"/>
              <w:left w:val="nil"/>
              <w:bottom w:val="nil"/>
              <w:right w:val="nil"/>
            </w:tcBorders>
            <w:shd w:val="clear" w:color="auto" w:fill="auto"/>
            <w:noWrap/>
            <w:vAlign w:val="bottom"/>
            <w:hideMark/>
          </w:tcPr>
          <w:p w14:paraId="307DC9D2" w14:textId="35A3EE70" w:rsidR="00746438" w:rsidRDefault="005E6A84">
            <w:pPr>
              <w:jc w:val="right"/>
              <w:rPr>
                <w:sz w:val="20"/>
                <w:szCs w:val="20"/>
              </w:rPr>
            </w:pPr>
            <w:r>
              <w:rPr>
                <w:sz w:val="20"/>
                <w:szCs w:val="20"/>
              </w:rPr>
              <w:t>38.000</w:t>
            </w:r>
          </w:p>
        </w:tc>
      </w:tr>
      <w:tr w:rsidR="00746438" w14:paraId="69F81BDC"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71942BCB"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5C60F6F1" w14:textId="77777777" w:rsidR="00746438" w:rsidRDefault="00746438">
            <w:pPr>
              <w:rPr>
                <w:sz w:val="20"/>
                <w:szCs w:val="20"/>
              </w:rPr>
            </w:pPr>
            <w:r>
              <w:rPr>
                <w:sz w:val="20"/>
                <w:szCs w:val="20"/>
              </w:rPr>
              <w:t>713 Prihodki od prodaje blaga in storitev</w:t>
            </w:r>
          </w:p>
        </w:tc>
        <w:tc>
          <w:tcPr>
            <w:tcW w:w="1340" w:type="dxa"/>
            <w:gridSpan w:val="2"/>
            <w:tcBorders>
              <w:top w:val="nil"/>
              <w:left w:val="nil"/>
              <w:bottom w:val="nil"/>
              <w:right w:val="nil"/>
            </w:tcBorders>
            <w:shd w:val="clear" w:color="auto" w:fill="auto"/>
            <w:noWrap/>
            <w:vAlign w:val="bottom"/>
            <w:hideMark/>
          </w:tcPr>
          <w:p w14:paraId="0EEE607C" w14:textId="121A7C2F" w:rsidR="00746438" w:rsidRDefault="005E6A84">
            <w:pPr>
              <w:jc w:val="right"/>
              <w:rPr>
                <w:sz w:val="20"/>
                <w:szCs w:val="20"/>
              </w:rPr>
            </w:pPr>
            <w:r>
              <w:rPr>
                <w:sz w:val="20"/>
                <w:szCs w:val="20"/>
              </w:rPr>
              <w:t>7</w:t>
            </w:r>
            <w:r w:rsidR="00746438">
              <w:rPr>
                <w:sz w:val="20"/>
                <w:szCs w:val="20"/>
              </w:rPr>
              <w:t>.000</w:t>
            </w:r>
          </w:p>
        </w:tc>
      </w:tr>
      <w:tr w:rsidR="00746438" w14:paraId="7FCD20BB"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6E51A435"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4D156490" w14:textId="77777777" w:rsidR="00746438" w:rsidRDefault="00746438">
            <w:pPr>
              <w:rPr>
                <w:sz w:val="20"/>
                <w:szCs w:val="20"/>
              </w:rPr>
            </w:pPr>
            <w:r>
              <w:rPr>
                <w:sz w:val="20"/>
                <w:szCs w:val="20"/>
              </w:rPr>
              <w:t>714 Drugi nedavčni prihodki</w:t>
            </w:r>
          </w:p>
        </w:tc>
        <w:tc>
          <w:tcPr>
            <w:tcW w:w="1340" w:type="dxa"/>
            <w:gridSpan w:val="2"/>
            <w:tcBorders>
              <w:top w:val="nil"/>
              <w:left w:val="nil"/>
              <w:bottom w:val="nil"/>
              <w:right w:val="nil"/>
            </w:tcBorders>
            <w:shd w:val="clear" w:color="auto" w:fill="auto"/>
            <w:noWrap/>
            <w:vAlign w:val="bottom"/>
            <w:hideMark/>
          </w:tcPr>
          <w:p w14:paraId="48BFC3F3" w14:textId="2226A7A0" w:rsidR="00746438" w:rsidRDefault="005E6A84">
            <w:pPr>
              <w:jc w:val="right"/>
              <w:rPr>
                <w:sz w:val="20"/>
                <w:szCs w:val="20"/>
              </w:rPr>
            </w:pPr>
            <w:r>
              <w:rPr>
                <w:sz w:val="20"/>
                <w:szCs w:val="20"/>
              </w:rPr>
              <w:t>230.376</w:t>
            </w:r>
          </w:p>
        </w:tc>
      </w:tr>
      <w:tr w:rsidR="00746438" w14:paraId="1ED8E6A1"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7B6DB5DE"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3AE7034E" w14:textId="77777777" w:rsidR="00746438" w:rsidRDefault="00746438">
            <w:pPr>
              <w:rPr>
                <w:b/>
                <w:bCs/>
                <w:sz w:val="20"/>
                <w:szCs w:val="20"/>
              </w:rPr>
            </w:pPr>
            <w:r>
              <w:rPr>
                <w:b/>
                <w:bCs/>
                <w:sz w:val="20"/>
                <w:szCs w:val="20"/>
              </w:rPr>
              <w:t>72  KAPITALSKI PRIHODKI</w:t>
            </w:r>
          </w:p>
        </w:tc>
        <w:tc>
          <w:tcPr>
            <w:tcW w:w="1340" w:type="dxa"/>
            <w:gridSpan w:val="2"/>
            <w:tcBorders>
              <w:top w:val="nil"/>
              <w:left w:val="nil"/>
              <w:bottom w:val="nil"/>
              <w:right w:val="nil"/>
            </w:tcBorders>
            <w:shd w:val="clear" w:color="auto" w:fill="auto"/>
            <w:noWrap/>
            <w:vAlign w:val="bottom"/>
            <w:hideMark/>
          </w:tcPr>
          <w:p w14:paraId="4B769257" w14:textId="06A06ACE" w:rsidR="00746438" w:rsidRDefault="005E6A84" w:rsidP="005E6A84">
            <w:pPr>
              <w:jc w:val="center"/>
              <w:rPr>
                <w:b/>
                <w:bCs/>
                <w:sz w:val="20"/>
                <w:szCs w:val="20"/>
              </w:rPr>
            </w:pPr>
            <w:r>
              <w:rPr>
                <w:b/>
                <w:bCs/>
                <w:sz w:val="20"/>
                <w:szCs w:val="20"/>
              </w:rPr>
              <w:t xml:space="preserve">           251.372</w:t>
            </w:r>
          </w:p>
        </w:tc>
      </w:tr>
      <w:tr w:rsidR="00746438" w14:paraId="530A8F31"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02146BDC" w14:textId="77777777" w:rsidR="00746438" w:rsidRDefault="00746438">
            <w:pPr>
              <w:jc w:val="right"/>
              <w:rPr>
                <w:b/>
                <w:bCs/>
                <w:sz w:val="20"/>
                <w:szCs w:val="20"/>
              </w:rPr>
            </w:pPr>
          </w:p>
        </w:tc>
        <w:tc>
          <w:tcPr>
            <w:tcW w:w="6380" w:type="dxa"/>
            <w:gridSpan w:val="2"/>
            <w:tcBorders>
              <w:top w:val="nil"/>
              <w:left w:val="nil"/>
              <w:bottom w:val="nil"/>
              <w:right w:val="nil"/>
            </w:tcBorders>
            <w:shd w:val="clear" w:color="auto" w:fill="auto"/>
            <w:noWrap/>
            <w:vAlign w:val="bottom"/>
            <w:hideMark/>
          </w:tcPr>
          <w:p w14:paraId="647A8154" w14:textId="77777777" w:rsidR="00746438" w:rsidRDefault="00746438">
            <w:pPr>
              <w:rPr>
                <w:sz w:val="20"/>
                <w:szCs w:val="20"/>
              </w:rPr>
            </w:pPr>
            <w:r>
              <w:rPr>
                <w:sz w:val="20"/>
                <w:szCs w:val="20"/>
              </w:rPr>
              <w:t>722 Prihodki od prodaje zemljišč in neopredmetena dolg. sred.</w:t>
            </w:r>
          </w:p>
        </w:tc>
        <w:tc>
          <w:tcPr>
            <w:tcW w:w="1340" w:type="dxa"/>
            <w:gridSpan w:val="2"/>
            <w:tcBorders>
              <w:top w:val="nil"/>
              <w:left w:val="nil"/>
              <w:bottom w:val="nil"/>
              <w:right w:val="nil"/>
            </w:tcBorders>
            <w:shd w:val="clear" w:color="auto" w:fill="auto"/>
            <w:noWrap/>
            <w:vAlign w:val="bottom"/>
            <w:hideMark/>
          </w:tcPr>
          <w:p w14:paraId="4AC06C61" w14:textId="2BC23C3C" w:rsidR="00746438" w:rsidRDefault="005E6A84">
            <w:pPr>
              <w:jc w:val="right"/>
              <w:rPr>
                <w:sz w:val="20"/>
                <w:szCs w:val="20"/>
              </w:rPr>
            </w:pPr>
            <w:r>
              <w:rPr>
                <w:sz w:val="20"/>
                <w:szCs w:val="20"/>
              </w:rPr>
              <w:t>251.372</w:t>
            </w:r>
          </w:p>
        </w:tc>
      </w:tr>
      <w:tr w:rsidR="00746438" w14:paraId="014EDFCE"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57242F5A"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223986C2" w14:textId="77777777" w:rsidR="00746438" w:rsidRDefault="00746438">
            <w:pPr>
              <w:rPr>
                <w:b/>
                <w:bCs/>
                <w:sz w:val="20"/>
                <w:szCs w:val="20"/>
              </w:rPr>
            </w:pPr>
            <w:r>
              <w:rPr>
                <w:b/>
                <w:bCs/>
                <w:sz w:val="20"/>
                <w:szCs w:val="20"/>
              </w:rPr>
              <w:t>73  PREJETE DONACIJE</w:t>
            </w:r>
          </w:p>
        </w:tc>
        <w:tc>
          <w:tcPr>
            <w:tcW w:w="1340" w:type="dxa"/>
            <w:gridSpan w:val="2"/>
            <w:tcBorders>
              <w:top w:val="nil"/>
              <w:left w:val="nil"/>
              <w:bottom w:val="nil"/>
              <w:right w:val="nil"/>
            </w:tcBorders>
            <w:shd w:val="clear" w:color="auto" w:fill="auto"/>
            <w:noWrap/>
            <w:vAlign w:val="bottom"/>
            <w:hideMark/>
          </w:tcPr>
          <w:p w14:paraId="13F38C02" w14:textId="09D0FCCB" w:rsidR="00746438" w:rsidRDefault="005E6A84">
            <w:pPr>
              <w:jc w:val="right"/>
              <w:rPr>
                <w:b/>
                <w:bCs/>
                <w:sz w:val="20"/>
                <w:szCs w:val="20"/>
              </w:rPr>
            </w:pPr>
            <w:r>
              <w:rPr>
                <w:b/>
                <w:bCs/>
                <w:sz w:val="20"/>
                <w:szCs w:val="20"/>
              </w:rPr>
              <w:t>71.7</w:t>
            </w:r>
            <w:r w:rsidR="00746438">
              <w:rPr>
                <w:b/>
                <w:bCs/>
                <w:sz w:val="20"/>
                <w:szCs w:val="20"/>
              </w:rPr>
              <w:t>00</w:t>
            </w:r>
          </w:p>
        </w:tc>
      </w:tr>
      <w:tr w:rsidR="00746438" w14:paraId="2CAF2F14"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49EC825B" w14:textId="77777777" w:rsidR="00746438" w:rsidRDefault="00746438">
            <w:pPr>
              <w:jc w:val="right"/>
              <w:rPr>
                <w:b/>
                <w:bCs/>
                <w:sz w:val="20"/>
                <w:szCs w:val="20"/>
              </w:rPr>
            </w:pPr>
          </w:p>
        </w:tc>
        <w:tc>
          <w:tcPr>
            <w:tcW w:w="6380" w:type="dxa"/>
            <w:gridSpan w:val="2"/>
            <w:tcBorders>
              <w:top w:val="nil"/>
              <w:left w:val="nil"/>
              <w:bottom w:val="nil"/>
              <w:right w:val="nil"/>
            </w:tcBorders>
            <w:shd w:val="clear" w:color="auto" w:fill="auto"/>
            <w:noWrap/>
            <w:vAlign w:val="bottom"/>
            <w:hideMark/>
          </w:tcPr>
          <w:p w14:paraId="1151B075" w14:textId="77777777" w:rsidR="00746438" w:rsidRDefault="00746438">
            <w:pPr>
              <w:rPr>
                <w:sz w:val="20"/>
                <w:szCs w:val="20"/>
              </w:rPr>
            </w:pPr>
            <w:r>
              <w:rPr>
                <w:sz w:val="20"/>
                <w:szCs w:val="20"/>
              </w:rPr>
              <w:t>730 Prejete donacije iz domačih virov</w:t>
            </w:r>
          </w:p>
        </w:tc>
        <w:tc>
          <w:tcPr>
            <w:tcW w:w="1340" w:type="dxa"/>
            <w:gridSpan w:val="2"/>
            <w:tcBorders>
              <w:top w:val="nil"/>
              <w:left w:val="nil"/>
              <w:bottom w:val="nil"/>
              <w:right w:val="nil"/>
            </w:tcBorders>
            <w:shd w:val="clear" w:color="auto" w:fill="auto"/>
            <w:noWrap/>
            <w:vAlign w:val="bottom"/>
            <w:hideMark/>
          </w:tcPr>
          <w:p w14:paraId="05EB3DD1" w14:textId="7282BA75" w:rsidR="00746438" w:rsidRDefault="005E6A84">
            <w:pPr>
              <w:jc w:val="right"/>
              <w:rPr>
                <w:sz w:val="20"/>
                <w:szCs w:val="20"/>
              </w:rPr>
            </w:pPr>
            <w:r>
              <w:rPr>
                <w:sz w:val="20"/>
                <w:szCs w:val="20"/>
              </w:rPr>
              <w:t>71.7</w:t>
            </w:r>
            <w:r w:rsidR="00746438">
              <w:rPr>
                <w:sz w:val="20"/>
                <w:szCs w:val="20"/>
              </w:rPr>
              <w:t>00</w:t>
            </w:r>
          </w:p>
        </w:tc>
      </w:tr>
      <w:tr w:rsidR="00746438" w14:paraId="7B0C341B"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57ADD5ED"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42F4BFC3" w14:textId="77777777" w:rsidR="00746438" w:rsidRDefault="00746438">
            <w:pPr>
              <w:rPr>
                <w:b/>
                <w:bCs/>
                <w:sz w:val="20"/>
                <w:szCs w:val="20"/>
              </w:rPr>
            </w:pPr>
            <w:r>
              <w:rPr>
                <w:b/>
                <w:bCs/>
                <w:sz w:val="20"/>
                <w:szCs w:val="20"/>
              </w:rPr>
              <w:t>74  TRANSFERNI PRIHODKI</w:t>
            </w:r>
          </w:p>
        </w:tc>
        <w:tc>
          <w:tcPr>
            <w:tcW w:w="1340" w:type="dxa"/>
            <w:gridSpan w:val="2"/>
            <w:tcBorders>
              <w:top w:val="nil"/>
              <w:left w:val="nil"/>
              <w:bottom w:val="nil"/>
              <w:right w:val="nil"/>
            </w:tcBorders>
            <w:shd w:val="clear" w:color="auto" w:fill="auto"/>
            <w:noWrap/>
            <w:vAlign w:val="bottom"/>
            <w:hideMark/>
          </w:tcPr>
          <w:p w14:paraId="426D6D70" w14:textId="66DD35EA" w:rsidR="00746438" w:rsidRDefault="005E6A84" w:rsidP="005E6A84">
            <w:pPr>
              <w:jc w:val="center"/>
              <w:rPr>
                <w:b/>
                <w:bCs/>
                <w:sz w:val="20"/>
                <w:szCs w:val="20"/>
              </w:rPr>
            </w:pPr>
            <w:r>
              <w:rPr>
                <w:b/>
                <w:bCs/>
                <w:sz w:val="20"/>
                <w:szCs w:val="20"/>
              </w:rPr>
              <w:t xml:space="preserve">      34.353.795</w:t>
            </w:r>
          </w:p>
        </w:tc>
      </w:tr>
      <w:tr w:rsidR="00746438" w14:paraId="3BB75946"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1E37E885" w14:textId="77777777" w:rsidR="00746438" w:rsidRDefault="00746438">
            <w:pPr>
              <w:jc w:val="right"/>
              <w:rPr>
                <w:b/>
                <w:bCs/>
                <w:sz w:val="20"/>
                <w:szCs w:val="20"/>
              </w:rPr>
            </w:pPr>
          </w:p>
        </w:tc>
        <w:tc>
          <w:tcPr>
            <w:tcW w:w="6380" w:type="dxa"/>
            <w:gridSpan w:val="2"/>
            <w:tcBorders>
              <w:top w:val="nil"/>
              <w:left w:val="nil"/>
              <w:bottom w:val="nil"/>
              <w:right w:val="nil"/>
            </w:tcBorders>
            <w:shd w:val="clear" w:color="auto" w:fill="auto"/>
            <w:noWrap/>
            <w:vAlign w:val="bottom"/>
            <w:hideMark/>
          </w:tcPr>
          <w:p w14:paraId="61E001C4" w14:textId="77777777" w:rsidR="00746438" w:rsidRDefault="00746438">
            <w:pPr>
              <w:rPr>
                <w:sz w:val="20"/>
                <w:szCs w:val="20"/>
              </w:rPr>
            </w:pPr>
            <w:r>
              <w:rPr>
                <w:sz w:val="20"/>
                <w:szCs w:val="20"/>
              </w:rPr>
              <w:t>740 Transferni prihodki iz drugih javnofinančnih institucij</w:t>
            </w:r>
          </w:p>
        </w:tc>
        <w:tc>
          <w:tcPr>
            <w:tcW w:w="1340" w:type="dxa"/>
            <w:gridSpan w:val="2"/>
            <w:tcBorders>
              <w:top w:val="nil"/>
              <w:left w:val="nil"/>
              <w:bottom w:val="nil"/>
              <w:right w:val="nil"/>
            </w:tcBorders>
            <w:shd w:val="clear" w:color="auto" w:fill="auto"/>
            <w:noWrap/>
            <w:vAlign w:val="bottom"/>
            <w:hideMark/>
          </w:tcPr>
          <w:p w14:paraId="69B0B908" w14:textId="36EF9197" w:rsidR="00746438" w:rsidRDefault="00505388">
            <w:pPr>
              <w:jc w:val="right"/>
              <w:rPr>
                <w:sz w:val="20"/>
                <w:szCs w:val="20"/>
              </w:rPr>
            </w:pPr>
            <w:r>
              <w:rPr>
                <w:sz w:val="20"/>
                <w:szCs w:val="20"/>
              </w:rPr>
              <w:t>33.010.745</w:t>
            </w:r>
          </w:p>
        </w:tc>
      </w:tr>
      <w:tr w:rsidR="00746438" w14:paraId="3D0CFE7F"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03E8A574"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0F201083" w14:textId="77777777" w:rsidR="00746438" w:rsidRDefault="00746438">
            <w:pPr>
              <w:rPr>
                <w:sz w:val="20"/>
                <w:szCs w:val="20"/>
              </w:rPr>
            </w:pPr>
            <w:r>
              <w:rPr>
                <w:sz w:val="20"/>
                <w:szCs w:val="20"/>
              </w:rPr>
              <w:t>741 Prejeta sredstva iz državnega proračuna iz sredstev prorač.EU</w:t>
            </w:r>
          </w:p>
        </w:tc>
        <w:tc>
          <w:tcPr>
            <w:tcW w:w="1340" w:type="dxa"/>
            <w:gridSpan w:val="2"/>
            <w:tcBorders>
              <w:top w:val="nil"/>
              <w:left w:val="nil"/>
              <w:bottom w:val="nil"/>
              <w:right w:val="nil"/>
            </w:tcBorders>
            <w:shd w:val="clear" w:color="auto" w:fill="auto"/>
            <w:noWrap/>
            <w:vAlign w:val="bottom"/>
            <w:hideMark/>
          </w:tcPr>
          <w:p w14:paraId="5C261BFF" w14:textId="69893221" w:rsidR="00746438" w:rsidRDefault="00505388">
            <w:pPr>
              <w:jc w:val="right"/>
              <w:rPr>
                <w:sz w:val="20"/>
                <w:szCs w:val="20"/>
              </w:rPr>
            </w:pPr>
            <w:r>
              <w:rPr>
                <w:sz w:val="20"/>
                <w:szCs w:val="20"/>
              </w:rPr>
              <w:t>1.343.050</w:t>
            </w:r>
          </w:p>
        </w:tc>
      </w:tr>
      <w:tr w:rsidR="00746438" w14:paraId="7A1D220F" w14:textId="77777777" w:rsidTr="00EE162A">
        <w:trPr>
          <w:trHeight w:val="285"/>
        </w:trPr>
        <w:tc>
          <w:tcPr>
            <w:tcW w:w="611" w:type="dxa"/>
            <w:gridSpan w:val="2"/>
            <w:tcBorders>
              <w:top w:val="nil"/>
              <w:left w:val="nil"/>
              <w:bottom w:val="nil"/>
              <w:right w:val="nil"/>
            </w:tcBorders>
            <w:shd w:val="clear" w:color="auto" w:fill="auto"/>
            <w:noWrap/>
            <w:vAlign w:val="bottom"/>
            <w:hideMark/>
          </w:tcPr>
          <w:p w14:paraId="368C2774" w14:textId="77777777" w:rsidR="00746438" w:rsidRDefault="00746438">
            <w:pPr>
              <w:rPr>
                <w:b/>
                <w:bCs/>
                <w:sz w:val="22"/>
                <w:szCs w:val="22"/>
              </w:rPr>
            </w:pPr>
            <w:r>
              <w:rPr>
                <w:b/>
                <w:bCs/>
                <w:sz w:val="22"/>
                <w:szCs w:val="22"/>
              </w:rPr>
              <w:t>II.</w:t>
            </w:r>
          </w:p>
        </w:tc>
        <w:tc>
          <w:tcPr>
            <w:tcW w:w="6380" w:type="dxa"/>
            <w:gridSpan w:val="2"/>
            <w:tcBorders>
              <w:top w:val="nil"/>
              <w:left w:val="nil"/>
              <w:bottom w:val="nil"/>
              <w:right w:val="nil"/>
            </w:tcBorders>
            <w:shd w:val="clear" w:color="auto" w:fill="auto"/>
            <w:noWrap/>
            <w:vAlign w:val="bottom"/>
            <w:hideMark/>
          </w:tcPr>
          <w:p w14:paraId="39D25466" w14:textId="77777777" w:rsidR="00746438" w:rsidRDefault="00746438">
            <w:pPr>
              <w:rPr>
                <w:b/>
                <w:bCs/>
                <w:sz w:val="22"/>
                <w:szCs w:val="22"/>
              </w:rPr>
            </w:pPr>
            <w:r>
              <w:rPr>
                <w:b/>
                <w:bCs/>
                <w:sz w:val="22"/>
                <w:szCs w:val="22"/>
              </w:rPr>
              <w:t>SKUPAJ ODHODKI (40+41+42+43)</w:t>
            </w:r>
          </w:p>
        </w:tc>
        <w:tc>
          <w:tcPr>
            <w:tcW w:w="1340" w:type="dxa"/>
            <w:gridSpan w:val="2"/>
            <w:tcBorders>
              <w:top w:val="nil"/>
              <w:left w:val="nil"/>
              <w:bottom w:val="nil"/>
              <w:right w:val="nil"/>
            </w:tcBorders>
            <w:shd w:val="clear" w:color="auto" w:fill="auto"/>
            <w:noWrap/>
            <w:vAlign w:val="bottom"/>
            <w:hideMark/>
          </w:tcPr>
          <w:p w14:paraId="54FC9CED" w14:textId="3827E11E" w:rsidR="00746438" w:rsidRDefault="00505388">
            <w:pPr>
              <w:jc w:val="right"/>
              <w:rPr>
                <w:b/>
                <w:bCs/>
                <w:sz w:val="22"/>
                <w:szCs w:val="22"/>
              </w:rPr>
            </w:pPr>
            <w:r>
              <w:rPr>
                <w:b/>
                <w:bCs/>
                <w:sz w:val="22"/>
                <w:szCs w:val="22"/>
              </w:rPr>
              <w:t>52.422.259</w:t>
            </w:r>
          </w:p>
        </w:tc>
      </w:tr>
      <w:tr w:rsidR="00746438" w14:paraId="0D57E09B"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4AB0A437" w14:textId="77777777" w:rsidR="00746438" w:rsidRDefault="00746438">
            <w:pPr>
              <w:jc w:val="right"/>
              <w:rPr>
                <w:b/>
                <w:bCs/>
                <w:sz w:val="22"/>
                <w:szCs w:val="22"/>
              </w:rPr>
            </w:pPr>
          </w:p>
        </w:tc>
        <w:tc>
          <w:tcPr>
            <w:tcW w:w="6380" w:type="dxa"/>
            <w:gridSpan w:val="2"/>
            <w:tcBorders>
              <w:top w:val="nil"/>
              <w:left w:val="nil"/>
              <w:bottom w:val="nil"/>
              <w:right w:val="nil"/>
            </w:tcBorders>
            <w:shd w:val="clear" w:color="auto" w:fill="auto"/>
            <w:noWrap/>
            <w:vAlign w:val="bottom"/>
            <w:hideMark/>
          </w:tcPr>
          <w:p w14:paraId="7598BB1A" w14:textId="77777777" w:rsidR="00746438" w:rsidRDefault="00746438">
            <w:pPr>
              <w:rPr>
                <w:b/>
                <w:bCs/>
                <w:sz w:val="20"/>
                <w:szCs w:val="20"/>
              </w:rPr>
            </w:pPr>
            <w:r>
              <w:rPr>
                <w:b/>
                <w:bCs/>
                <w:sz w:val="20"/>
                <w:szCs w:val="20"/>
              </w:rPr>
              <w:t>40  TEKOČI ODHODKI</w:t>
            </w:r>
          </w:p>
        </w:tc>
        <w:tc>
          <w:tcPr>
            <w:tcW w:w="1340" w:type="dxa"/>
            <w:gridSpan w:val="2"/>
            <w:tcBorders>
              <w:top w:val="nil"/>
              <w:left w:val="nil"/>
              <w:bottom w:val="nil"/>
              <w:right w:val="nil"/>
            </w:tcBorders>
            <w:shd w:val="clear" w:color="auto" w:fill="auto"/>
            <w:noWrap/>
            <w:vAlign w:val="bottom"/>
            <w:hideMark/>
          </w:tcPr>
          <w:p w14:paraId="7F4ECE93" w14:textId="2B1F8669" w:rsidR="00746438" w:rsidRDefault="007605CD">
            <w:pPr>
              <w:jc w:val="right"/>
              <w:rPr>
                <w:b/>
                <w:bCs/>
                <w:sz w:val="20"/>
                <w:szCs w:val="20"/>
              </w:rPr>
            </w:pPr>
            <w:r>
              <w:rPr>
                <w:b/>
                <w:bCs/>
                <w:sz w:val="20"/>
                <w:szCs w:val="20"/>
              </w:rPr>
              <w:t>5.949.315</w:t>
            </w:r>
          </w:p>
        </w:tc>
      </w:tr>
      <w:tr w:rsidR="00746438" w14:paraId="748D4DF1"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7F504FE1" w14:textId="77777777" w:rsidR="00746438" w:rsidRDefault="00746438">
            <w:pPr>
              <w:jc w:val="right"/>
              <w:rPr>
                <w:b/>
                <w:bCs/>
                <w:sz w:val="20"/>
                <w:szCs w:val="20"/>
              </w:rPr>
            </w:pPr>
          </w:p>
        </w:tc>
        <w:tc>
          <w:tcPr>
            <w:tcW w:w="6380" w:type="dxa"/>
            <w:gridSpan w:val="2"/>
            <w:tcBorders>
              <w:top w:val="nil"/>
              <w:left w:val="nil"/>
              <w:bottom w:val="nil"/>
              <w:right w:val="nil"/>
            </w:tcBorders>
            <w:shd w:val="clear" w:color="auto" w:fill="auto"/>
            <w:noWrap/>
            <w:vAlign w:val="bottom"/>
            <w:hideMark/>
          </w:tcPr>
          <w:p w14:paraId="47156612" w14:textId="77777777" w:rsidR="00746438" w:rsidRDefault="00746438">
            <w:pPr>
              <w:rPr>
                <w:sz w:val="20"/>
                <w:szCs w:val="20"/>
              </w:rPr>
            </w:pPr>
            <w:r>
              <w:rPr>
                <w:sz w:val="20"/>
                <w:szCs w:val="20"/>
              </w:rPr>
              <w:t>400 Plače in drugi izdatki zaposlenim</w:t>
            </w:r>
          </w:p>
        </w:tc>
        <w:tc>
          <w:tcPr>
            <w:tcW w:w="1340" w:type="dxa"/>
            <w:gridSpan w:val="2"/>
            <w:tcBorders>
              <w:top w:val="nil"/>
              <w:left w:val="nil"/>
              <w:bottom w:val="nil"/>
              <w:right w:val="nil"/>
            </w:tcBorders>
            <w:shd w:val="clear" w:color="auto" w:fill="auto"/>
            <w:noWrap/>
            <w:vAlign w:val="bottom"/>
            <w:hideMark/>
          </w:tcPr>
          <w:p w14:paraId="1AF999C8" w14:textId="4D48A8D4" w:rsidR="00746438" w:rsidRDefault="007605CD">
            <w:pPr>
              <w:jc w:val="right"/>
              <w:rPr>
                <w:sz w:val="20"/>
                <w:szCs w:val="20"/>
              </w:rPr>
            </w:pPr>
            <w:r>
              <w:rPr>
                <w:sz w:val="20"/>
                <w:szCs w:val="20"/>
              </w:rPr>
              <w:t>928.760</w:t>
            </w:r>
          </w:p>
        </w:tc>
      </w:tr>
      <w:tr w:rsidR="00746438" w14:paraId="5DD44F50"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6BF410E8"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0D3985F3" w14:textId="77777777" w:rsidR="00746438" w:rsidRDefault="00746438">
            <w:pPr>
              <w:rPr>
                <w:sz w:val="20"/>
                <w:szCs w:val="20"/>
              </w:rPr>
            </w:pPr>
            <w:r>
              <w:rPr>
                <w:sz w:val="20"/>
                <w:szCs w:val="20"/>
              </w:rPr>
              <w:t>401 Prispevki delodajalcev za socialno varnost</w:t>
            </w:r>
          </w:p>
        </w:tc>
        <w:tc>
          <w:tcPr>
            <w:tcW w:w="1340" w:type="dxa"/>
            <w:gridSpan w:val="2"/>
            <w:tcBorders>
              <w:top w:val="nil"/>
              <w:left w:val="nil"/>
              <w:bottom w:val="nil"/>
              <w:right w:val="nil"/>
            </w:tcBorders>
            <w:shd w:val="clear" w:color="auto" w:fill="auto"/>
            <w:noWrap/>
            <w:vAlign w:val="bottom"/>
            <w:hideMark/>
          </w:tcPr>
          <w:p w14:paraId="72D483E1" w14:textId="43B7338F" w:rsidR="00746438" w:rsidRDefault="007605CD">
            <w:pPr>
              <w:jc w:val="right"/>
              <w:rPr>
                <w:sz w:val="20"/>
                <w:szCs w:val="20"/>
              </w:rPr>
            </w:pPr>
            <w:r>
              <w:rPr>
                <w:sz w:val="20"/>
                <w:szCs w:val="20"/>
              </w:rPr>
              <w:t>145.210</w:t>
            </w:r>
          </w:p>
        </w:tc>
      </w:tr>
      <w:tr w:rsidR="00746438" w14:paraId="362FED4D"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34F3A494"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01FD868E" w14:textId="77777777" w:rsidR="00746438" w:rsidRDefault="00746438">
            <w:pPr>
              <w:rPr>
                <w:sz w:val="20"/>
                <w:szCs w:val="20"/>
              </w:rPr>
            </w:pPr>
            <w:r>
              <w:rPr>
                <w:sz w:val="20"/>
                <w:szCs w:val="20"/>
              </w:rPr>
              <w:t>402 Izdatki za blago in storitve</w:t>
            </w:r>
          </w:p>
        </w:tc>
        <w:tc>
          <w:tcPr>
            <w:tcW w:w="1340" w:type="dxa"/>
            <w:gridSpan w:val="2"/>
            <w:tcBorders>
              <w:top w:val="nil"/>
              <w:left w:val="nil"/>
              <w:bottom w:val="nil"/>
              <w:right w:val="nil"/>
            </w:tcBorders>
            <w:shd w:val="clear" w:color="auto" w:fill="auto"/>
            <w:noWrap/>
            <w:vAlign w:val="bottom"/>
            <w:hideMark/>
          </w:tcPr>
          <w:p w14:paraId="761F9F51" w14:textId="0533F23B" w:rsidR="00746438" w:rsidRDefault="007605CD">
            <w:pPr>
              <w:jc w:val="right"/>
              <w:rPr>
                <w:sz w:val="20"/>
                <w:szCs w:val="20"/>
              </w:rPr>
            </w:pPr>
            <w:r>
              <w:rPr>
                <w:sz w:val="20"/>
                <w:szCs w:val="20"/>
              </w:rPr>
              <w:t>4.598.645</w:t>
            </w:r>
          </w:p>
        </w:tc>
      </w:tr>
      <w:tr w:rsidR="00746438" w14:paraId="2595BD6F"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67AF6BBA"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4FC4A6B8" w14:textId="77777777" w:rsidR="00746438" w:rsidRDefault="00746438">
            <w:pPr>
              <w:rPr>
                <w:sz w:val="20"/>
                <w:szCs w:val="20"/>
              </w:rPr>
            </w:pPr>
            <w:r>
              <w:rPr>
                <w:sz w:val="20"/>
                <w:szCs w:val="20"/>
              </w:rPr>
              <w:t>403 Plačila domačih obresti</w:t>
            </w:r>
          </w:p>
        </w:tc>
        <w:tc>
          <w:tcPr>
            <w:tcW w:w="1340" w:type="dxa"/>
            <w:gridSpan w:val="2"/>
            <w:tcBorders>
              <w:top w:val="nil"/>
              <w:left w:val="nil"/>
              <w:bottom w:val="nil"/>
              <w:right w:val="nil"/>
            </w:tcBorders>
            <w:shd w:val="clear" w:color="auto" w:fill="auto"/>
            <w:noWrap/>
            <w:vAlign w:val="bottom"/>
            <w:hideMark/>
          </w:tcPr>
          <w:p w14:paraId="463CCD1D" w14:textId="23958D70" w:rsidR="00746438" w:rsidRDefault="007605CD">
            <w:pPr>
              <w:jc w:val="right"/>
              <w:rPr>
                <w:sz w:val="20"/>
                <w:szCs w:val="20"/>
              </w:rPr>
            </w:pPr>
            <w:r>
              <w:rPr>
                <w:sz w:val="20"/>
                <w:szCs w:val="20"/>
              </w:rPr>
              <w:t>116.700</w:t>
            </w:r>
          </w:p>
        </w:tc>
      </w:tr>
      <w:tr w:rsidR="00746438" w14:paraId="60E957BE"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7C911460"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64C7AAE6" w14:textId="77777777" w:rsidR="00746438" w:rsidRDefault="00746438">
            <w:pPr>
              <w:rPr>
                <w:sz w:val="20"/>
                <w:szCs w:val="20"/>
              </w:rPr>
            </w:pPr>
            <w:r>
              <w:rPr>
                <w:sz w:val="20"/>
                <w:szCs w:val="20"/>
              </w:rPr>
              <w:t>409 Rezerve</w:t>
            </w:r>
          </w:p>
        </w:tc>
        <w:tc>
          <w:tcPr>
            <w:tcW w:w="1340" w:type="dxa"/>
            <w:gridSpan w:val="2"/>
            <w:tcBorders>
              <w:top w:val="nil"/>
              <w:left w:val="nil"/>
              <w:bottom w:val="nil"/>
              <w:right w:val="nil"/>
            </w:tcBorders>
            <w:shd w:val="clear" w:color="auto" w:fill="auto"/>
            <w:noWrap/>
            <w:vAlign w:val="bottom"/>
            <w:hideMark/>
          </w:tcPr>
          <w:p w14:paraId="5AF4157E" w14:textId="637649C1" w:rsidR="00746438" w:rsidRDefault="007605CD">
            <w:pPr>
              <w:jc w:val="right"/>
              <w:rPr>
                <w:sz w:val="20"/>
                <w:szCs w:val="20"/>
              </w:rPr>
            </w:pPr>
            <w:r>
              <w:rPr>
                <w:sz w:val="20"/>
                <w:szCs w:val="20"/>
              </w:rPr>
              <w:t>160.000</w:t>
            </w:r>
          </w:p>
        </w:tc>
      </w:tr>
      <w:tr w:rsidR="00746438" w14:paraId="0E6566E4"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72D7ED1C"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60B04A40" w14:textId="77777777" w:rsidR="00746438" w:rsidRDefault="00746438">
            <w:pPr>
              <w:rPr>
                <w:b/>
                <w:bCs/>
                <w:sz w:val="20"/>
                <w:szCs w:val="20"/>
              </w:rPr>
            </w:pPr>
            <w:r>
              <w:rPr>
                <w:b/>
                <w:bCs/>
                <w:sz w:val="20"/>
                <w:szCs w:val="20"/>
              </w:rPr>
              <w:t>41  TEKOČI TRANSFERI</w:t>
            </w:r>
          </w:p>
        </w:tc>
        <w:tc>
          <w:tcPr>
            <w:tcW w:w="1340" w:type="dxa"/>
            <w:gridSpan w:val="2"/>
            <w:tcBorders>
              <w:top w:val="nil"/>
              <w:left w:val="nil"/>
              <w:bottom w:val="nil"/>
              <w:right w:val="nil"/>
            </w:tcBorders>
            <w:shd w:val="clear" w:color="auto" w:fill="auto"/>
            <w:noWrap/>
            <w:vAlign w:val="bottom"/>
            <w:hideMark/>
          </w:tcPr>
          <w:p w14:paraId="661D557C" w14:textId="10B3750E" w:rsidR="00746438" w:rsidRDefault="007605CD">
            <w:pPr>
              <w:jc w:val="right"/>
              <w:rPr>
                <w:b/>
                <w:bCs/>
                <w:sz w:val="20"/>
                <w:szCs w:val="20"/>
              </w:rPr>
            </w:pPr>
            <w:r>
              <w:rPr>
                <w:b/>
                <w:bCs/>
                <w:sz w:val="20"/>
                <w:szCs w:val="20"/>
              </w:rPr>
              <w:t>5.701.682</w:t>
            </w:r>
          </w:p>
        </w:tc>
      </w:tr>
      <w:tr w:rsidR="00746438" w14:paraId="4CF1224E"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6329016F" w14:textId="77777777" w:rsidR="00746438" w:rsidRDefault="00746438">
            <w:pPr>
              <w:jc w:val="right"/>
              <w:rPr>
                <w:b/>
                <w:bCs/>
                <w:sz w:val="20"/>
                <w:szCs w:val="20"/>
              </w:rPr>
            </w:pPr>
          </w:p>
        </w:tc>
        <w:tc>
          <w:tcPr>
            <w:tcW w:w="6380" w:type="dxa"/>
            <w:gridSpan w:val="2"/>
            <w:tcBorders>
              <w:top w:val="nil"/>
              <w:left w:val="nil"/>
              <w:bottom w:val="nil"/>
              <w:right w:val="nil"/>
            </w:tcBorders>
            <w:shd w:val="clear" w:color="auto" w:fill="auto"/>
            <w:noWrap/>
            <w:vAlign w:val="bottom"/>
            <w:hideMark/>
          </w:tcPr>
          <w:p w14:paraId="3728D98A" w14:textId="77777777" w:rsidR="00746438" w:rsidRDefault="00746438">
            <w:pPr>
              <w:rPr>
                <w:sz w:val="20"/>
                <w:szCs w:val="20"/>
              </w:rPr>
            </w:pPr>
            <w:r>
              <w:rPr>
                <w:sz w:val="20"/>
                <w:szCs w:val="20"/>
              </w:rPr>
              <w:t>410 Subvencije</w:t>
            </w:r>
          </w:p>
        </w:tc>
        <w:tc>
          <w:tcPr>
            <w:tcW w:w="1340" w:type="dxa"/>
            <w:gridSpan w:val="2"/>
            <w:tcBorders>
              <w:top w:val="nil"/>
              <w:left w:val="nil"/>
              <w:bottom w:val="nil"/>
              <w:right w:val="nil"/>
            </w:tcBorders>
            <w:shd w:val="clear" w:color="auto" w:fill="auto"/>
            <w:noWrap/>
            <w:vAlign w:val="bottom"/>
            <w:hideMark/>
          </w:tcPr>
          <w:p w14:paraId="352E5149" w14:textId="08DE4A4C" w:rsidR="00746438" w:rsidRDefault="007605CD">
            <w:pPr>
              <w:jc w:val="right"/>
              <w:rPr>
                <w:sz w:val="20"/>
                <w:szCs w:val="20"/>
              </w:rPr>
            </w:pPr>
            <w:r>
              <w:rPr>
                <w:sz w:val="20"/>
                <w:szCs w:val="20"/>
              </w:rPr>
              <w:t>195.000</w:t>
            </w:r>
          </w:p>
        </w:tc>
      </w:tr>
      <w:tr w:rsidR="00746438" w14:paraId="717C1E1E"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59BDDA6F"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6371B4D4" w14:textId="77777777" w:rsidR="00746438" w:rsidRDefault="00746438">
            <w:pPr>
              <w:rPr>
                <w:sz w:val="20"/>
                <w:szCs w:val="20"/>
              </w:rPr>
            </w:pPr>
            <w:r>
              <w:rPr>
                <w:sz w:val="20"/>
                <w:szCs w:val="20"/>
              </w:rPr>
              <w:t>411 Transferi posameznikom in gospodinjstvom</w:t>
            </w:r>
          </w:p>
        </w:tc>
        <w:tc>
          <w:tcPr>
            <w:tcW w:w="1340" w:type="dxa"/>
            <w:gridSpan w:val="2"/>
            <w:tcBorders>
              <w:top w:val="nil"/>
              <w:left w:val="nil"/>
              <w:bottom w:val="nil"/>
              <w:right w:val="nil"/>
            </w:tcBorders>
            <w:shd w:val="clear" w:color="auto" w:fill="auto"/>
            <w:noWrap/>
            <w:vAlign w:val="bottom"/>
            <w:hideMark/>
          </w:tcPr>
          <w:p w14:paraId="1C33276C" w14:textId="4E3F5FDB" w:rsidR="00746438" w:rsidRDefault="007605CD">
            <w:pPr>
              <w:jc w:val="right"/>
              <w:rPr>
                <w:sz w:val="20"/>
                <w:szCs w:val="20"/>
              </w:rPr>
            </w:pPr>
            <w:r>
              <w:rPr>
                <w:sz w:val="20"/>
                <w:szCs w:val="20"/>
              </w:rPr>
              <w:t>3.595.700</w:t>
            </w:r>
          </w:p>
        </w:tc>
      </w:tr>
      <w:tr w:rsidR="00746438" w14:paraId="6BBE61FB"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419C5478"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256144E8" w14:textId="77777777" w:rsidR="00746438" w:rsidRDefault="00746438">
            <w:pPr>
              <w:rPr>
                <w:sz w:val="20"/>
                <w:szCs w:val="20"/>
              </w:rPr>
            </w:pPr>
            <w:r>
              <w:rPr>
                <w:sz w:val="20"/>
                <w:szCs w:val="20"/>
              </w:rPr>
              <w:t>412 Transferi neprofitnim organizacijam in ustanovam</w:t>
            </w:r>
          </w:p>
        </w:tc>
        <w:tc>
          <w:tcPr>
            <w:tcW w:w="1340" w:type="dxa"/>
            <w:gridSpan w:val="2"/>
            <w:tcBorders>
              <w:top w:val="nil"/>
              <w:left w:val="nil"/>
              <w:bottom w:val="nil"/>
              <w:right w:val="nil"/>
            </w:tcBorders>
            <w:shd w:val="clear" w:color="auto" w:fill="auto"/>
            <w:noWrap/>
            <w:vAlign w:val="bottom"/>
            <w:hideMark/>
          </w:tcPr>
          <w:p w14:paraId="1F9D2C6F" w14:textId="0DA0208A" w:rsidR="00746438" w:rsidRDefault="00157DAC">
            <w:pPr>
              <w:jc w:val="right"/>
              <w:rPr>
                <w:sz w:val="20"/>
                <w:szCs w:val="20"/>
              </w:rPr>
            </w:pPr>
            <w:r>
              <w:rPr>
                <w:sz w:val="20"/>
                <w:szCs w:val="20"/>
              </w:rPr>
              <w:t>550.700</w:t>
            </w:r>
          </w:p>
        </w:tc>
      </w:tr>
      <w:tr w:rsidR="00746438" w14:paraId="76013489"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01C1DB37"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0503785E" w14:textId="77777777" w:rsidR="00746438" w:rsidRDefault="00746438">
            <w:pPr>
              <w:rPr>
                <w:sz w:val="20"/>
                <w:szCs w:val="20"/>
              </w:rPr>
            </w:pPr>
            <w:r>
              <w:rPr>
                <w:sz w:val="20"/>
                <w:szCs w:val="20"/>
              </w:rPr>
              <w:t>413 Drugi tekoči domači transferi</w:t>
            </w:r>
          </w:p>
        </w:tc>
        <w:tc>
          <w:tcPr>
            <w:tcW w:w="1340" w:type="dxa"/>
            <w:gridSpan w:val="2"/>
            <w:tcBorders>
              <w:top w:val="nil"/>
              <w:left w:val="nil"/>
              <w:bottom w:val="nil"/>
              <w:right w:val="nil"/>
            </w:tcBorders>
            <w:shd w:val="clear" w:color="auto" w:fill="auto"/>
            <w:noWrap/>
            <w:vAlign w:val="bottom"/>
            <w:hideMark/>
          </w:tcPr>
          <w:p w14:paraId="712D6825" w14:textId="23AD0E30" w:rsidR="00746438" w:rsidRDefault="00F25567">
            <w:pPr>
              <w:jc w:val="right"/>
              <w:rPr>
                <w:sz w:val="20"/>
                <w:szCs w:val="20"/>
              </w:rPr>
            </w:pPr>
            <w:r>
              <w:rPr>
                <w:sz w:val="20"/>
                <w:szCs w:val="20"/>
              </w:rPr>
              <w:t>1.360.282</w:t>
            </w:r>
          </w:p>
        </w:tc>
      </w:tr>
      <w:tr w:rsidR="00746438" w14:paraId="23422A93"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27496C6C"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46D1406E" w14:textId="77777777" w:rsidR="00746438" w:rsidRDefault="00746438">
            <w:pPr>
              <w:rPr>
                <w:b/>
                <w:bCs/>
                <w:sz w:val="20"/>
                <w:szCs w:val="20"/>
              </w:rPr>
            </w:pPr>
            <w:r>
              <w:rPr>
                <w:b/>
                <w:bCs/>
                <w:sz w:val="20"/>
                <w:szCs w:val="20"/>
              </w:rPr>
              <w:t>42  INVESTICIJSKI ODHODKI</w:t>
            </w:r>
          </w:p>
        </w:tc>
        <w:tc>
          <w:tcPr>
            <w:tcW w:w="1340" w:type="dxa"/>
            <w:gridSpan w:val="2"/>
            <w:tcBorders>
              <w:top w:val="nil"/>
              <w:left w:val="nil"/>
              <w:bottom w:val="nil"/>
              <w:right w:val="nil"/>
            </w:tcBorders>
            <w:shd w:val="clear" w:color="auto" w:fill="auto"/>
            <w:noWrap/>
            <w:vAlign w:val="bottom"/>
            <w:hideMark/>
          </w:tcPr>
          <w:p w14:paraId="64A18397" w14:textId="1FFB97B7" w:rsidR="00746438" w:rsidRDefault="00F25567">
            <w:pPr>
              <w:jc w:val="right"/>
              <w:rPr>
                <w:b/>
                <w:bCs/>
                <w:sz w:val="20"/>
                <w:szCs w:val="20"/>
              </w:rPr>
            </w:pPr>
            <w:r>
              <w:rPr>
                <w:b/>
                <w:bCs/>
                <w:sz w:val="20"/>
                <w:szCs w:val="20"/>
              </w:rPr>
              <w:t>40.698.262</w:t>
            </w:r>
          </w:p>
        </w:tc>
      </w:tr>
      <w:tr w:rsidR="00746438" w14:paraId="563AAD86"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3C680066" w14:textId="77777777" w:rsidR="00746438" w:rsidRDefault="00746438">
            <w:pPr>
              <w:jc w:val="right"/>
              <w:rPr>
                <w:b/>
                <w:bCs/>
                <w:sz w:val="20"/>
                <w:szCs w:val="20"/>
              </w:rPr>
            </w:pPr>
          </w:p>
        </w:tc>
        <w:tc>
          <w:tcPr>
            <w:tcW w:w="6380" w:type="dxa"/>
            <w:gridSpan w:val="2"/>
            <w:tcBorders>
              <w:top w:val="nil"/>
              <w:left w:val="nil"/>
              <w:bottom w:val="nil"/>
              <w:right w:val="nil"/>
            </w:tcBorders>
            <w:shd w:val="clear" w:color="auto" w:fill="auto"/>
            <w:noWrap/>
            <w:vAlign w:val="bottom"/>
            <w:hideMark/>
          </w:tcPr>
          <w:p w14:paraId="7CE42F54" w14:textId="77777777" w:rsidR="00746438" w:rsidRDefault="00746438">
            <w:pPr>
              <w:rPr>
                <w:sz w:val="20"/>
                <w:szCs w:val="20"/>
              </w:rPr>
            </w:pPr>
            <w:r>
              <w:rPr>
                <w:sz w:val="20"/>
                <w:szCs w:val="20"/>
              </w:rPr>
              <w:t>420 Nakup in gradnja osnovnih sredstev</w:t>
            </w:r>
          </w:p>
        </w:tc>
        <w:tc>
          <w:tcPr>
            <w:tcW w:w="1340" w:type="dxa"/>
            <w:gridSpan w:val="2"/>
            <w:tcBorders>
              <w:top w:val="nil"/>
              <w:left w:val="nil"/>
              <w:bottom w:val="nil"/>
              <w:right w:val="nil"/>
            </w:tcBorders>
            <w:shd w:val="clear" w:color="auto" w:fill="auto"/>
            <w:noWrap/>
            <w:vAlign w:val="bottom"/>
            <w:hideMark/>
          </w:tcPr>
          <w:p w14:paraId="58F8A765" w14:textId="70F61F96" w:rsidR="00746438" w:rsidRDefault="00F25567">
            <w:pPr>
              <w:jc w:val="right"/>
              <w:rPr>
                <w:sz w:val="20"/>
                <w:szCs w:val="20"/>
              </w:rPr>
            </w:pPr>
            <w:r>
              <w:rPr>
                <w:sz w:val="20"/>
                <w:szCs w:val="20"/>
              </w:rPr>
              <w:t>40.698.262</w:t>
            </w:r>
          </w:p>
        </w:tc>
      </w:tr>
      <w:tr w:rsidR="00746438" w14:paraId="26E21A40"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241FD3BC"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740A95E8" w14:textId="77777777" w:rsidR="00746438" w:rsidRDefault="00746438">
            <w:pPr>
              <w:rPr>
                <w:b/>
                <w:bCs/>
                <w:sz w:val="20"/>
                <w:szCs w:val="20"/>
              </w:rPr>
            </w:pPr>
            <w:r>
              <w:rPr>
                <w:b/>
                <w:bCs/>
                <w:sz w:val="20"/>
                <w:szCs w:val="20"/>
              </w:rPr>
              <w:t>43 INVESTICIJSKI TRANSFERI</w:t>
            </w:r>
          </w:p>
        </w:tc>
        <w:tc>
          <w:tcPr>
            <w:tcW w:w="1340" w:type="dxa"/>
            <w:gridSpan w:val="2"/>
            <w:tcBorders>
              <w:top w:val="nil"/>
              <w:left w:val="nil"/>
              <w:bottom w:val="nil"/>
              <w:right w:val="nil"/>
            </w:tcBorders>
            <w:shd w:val="clear" w:color="auto" w:fill="auto"/>
            <w:noWrap/>
            <w:vAlign w:val="bottom"/>
            <w:hideMark/>
          </w:tcPr>
          <w:p w14:paraId="5525D17A" w14:textId="42AFA2C1" w:rsidR="00746438" w:rsidRDefault="00F25567">
            <w:pPr>
              <w:jc w:val="right"/>
              <w:rPr>
                <w:b/>
                <w:bCs/>
                <w:sz w:val="20"/>
                <w:szCs w:val="20"/>
              </w:rPr>
            </w:pPr>
            <w:r>
              <w:rPr>
                <w:b/>
                <w:bCs/>
                <w:sz w:val="20"/>
                <w:szCs w:val="20"/>
              </w:rPr>
              <w:t>73.000</w:t>
            </w:r>
          </w:p>
        </w:tc>
      </w:tr>
      <w:tr w:rsidR="00746438" w14:paraId="7998B0C7"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4B15D66D" w14:textId="77777777" w:rsidR="00746438" w:rsidRDefault="00746438">
            <w:pPr>
              <w:jc w:val="right"/>
              <w:rPr>
                <w:b/>
                <w:bCs/>
                <w:sz w:val="20"/>
                <w:szCs w:val="20"/>
              </w:rPr>
            </w:pPr>
          </w:p>
        </w:tc>
        <w:tc>
          <w:tcPr>
            <w:tcW w:w="6380" w:type="dxa"/>
            <w:gridSpan w:val="2"/>
            <w:tcBorders>
              <w:top w:val="nil"/>
              <w:left w:val="nil"/>
              <w:bottom w:val="nil"/>
              <w:right w:val="nil"/>
            </w:tcBorders>
            <w:shd w:val="clear" w:color="auto" w:fill="auto"/>
            <w:noWrap/>
            <w:vAlign w:val="bottom"/>
            <w:hideMark/>
          </w:tcPr>
          <w:p w14:paraId="1FCFF0E3" w14:textId="77777777" w:rsidR="00746438" w:rsidRDefault="00746438">
            <w:pPr>
              <w:rPr>
                <w:sz w:val="20"/>
                <w:szCs w:val="20"/>
              </w:rPr>
            </w:pPr>
            <w:r>
              <w:rPr>
                <w:sz w:val="20"/>
                <w:szCs w:val="20"/>
              </w:rPr>
              <w:t xml:space="preserve">431 </w:t>
            </w:r>
            <w:proofErr w:type="spellStart"/>
            <w:r>
              <w:rPr>
                <w:sz w:val="20"/>
                <w:szCs w:val="20"/>
              </w:rPr>
              <w:t>Inv.transferi</w:t>
            </w:r>
            <w:proofErr w:type="spellEnd"/>
            <w:r>
              <w:rPr>
                <w:sz w:val="20"/>
                <w:szCs w:val="20"/>
              </w:rPr>
              <w:t xml:space="preserve"> prav.in </w:t>
            </w:r>
            <w:proofErr w:type="spellStart"/>
            <w:r>
              <w:rPr>
                <w:sz w:val="20"/>
                <w:szCs w:val="20"/>
              </w:rPr>
              <w:t>fiz.osebam</w:t>
            </w:r>
            <w:proofErr w:type="spellEnd"/>
            <w:r>
              <w:rPr>
                <w:sz w:val="20"/>
                <w:szCs w:val="20"/>
              </w:rPr>
              <w:t>, ki niso proračunski uporabniki</w:t>
            </w:r>
          </w:p>
        </w:tc>
        <w:tc>
          <w:tcPr>
            <w:tcW w:w="1340" w:type="dxa"/>
            <w:gridSpan w:val="2"/>
            <w:tcBorders>
              <w:top w:val="nil"/>
              <w:left w:val="nil"/>
              <w:bottom w:val="nil"/>
              <w:right w:val="nil"/>
            </w:tcBorders>
            <w:shd w:val="clear" w:color="auto" w:fill="auto"/>
            <w:noWrap/>
            <w:vAlign w:val="bottom"/>
            <w:hideMark/>
          </w:tcPr>
          <w:p w14:paraId="0758ED6A" w14:textId="12D9B145" w:rsidR="00746438" w:rsidRDefault="00F25567">
            <w:pPr>
              <w:jc w:val="right"/>
              <w:rPr>
                <w:sz w:val="20"/>
                <w:szCs w:val="20"/>
              </w:rPr>
            </w:pPr>
            <w:r>
              <w:rPr>
                <w:sz w:val="20"/>
                <w:szCs w:val="20"/>
              </w:rPr>
              <w:t>59.000</w:t>
            </w:r>
          </w:p>
        </w:tc>
      </w:tr>
      <w:tr w:rsidR="00746438" w14:paraId="4D8672F1"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71C2C81D" w14:textId="77777777" w:rsidR="00746438" w:rsidRDefault="00746438">
            <w:pPr>
              <w:jc w:val="right"/>
              <w:rPr>
                <w:sz w:val="20"/>
                <w:szCs w:val="20"/>
              </w:rPr>
            </w:pPr>
          </w:p>
        </w:tc>
        <w:tc>
          <w:tcPr>
            <w:tcW w:w="6380" w:type="dxa"/>
            <w:gridSpan w:val="2"/>
            <w:tcBorders>
              <w:top w:val="nil"/>
              <w:left w:val="nil"/>
              <w:bottom w:val="nil"/>
              <w:right w:val="nil"/>
            </w:tcBorders>
            <w:shd w:val="clear" w:color="auto" w:fill="auto"/>
            <w:noWrap/>
            <w:vAlign w:val="bottom"/>
            <w:hideMark/>
          </w:tcPr>
          <w:p w14:paraId="5883EA42" w14:textId="77777777" w:rsidR="00746438" w:rsidRDefault="00746438">
            <w:pPr>
              <w:rPr>
                <w:sz w:val="20"/>
                <w:szCs w:val="20"/>
              </w:rPr>
            </w:pPr>
            <w:r>
              <w:rPr>
                <w:sz w:val="20"/>
                <w:szCs w:val="20"/>
              </w:rPr>
              <w:t>432 Investicijski transferi proračunskim uporabnikom</w:t>
            </w:r>
          </w:p>
        </w:tc>
        <w:tc>
          <w:tcPr>
            <w:tcW w:w="1340" w:type="dxa"/>
            <w:gridSpan w:val="2"/>
            <w:tcBorders>
              <w:top w:val="nil"/>
              <w:left w:val="nil"/>
              <w:bottom w:val="nil"/>
              <w:right w:val="nil"/>
            </w:tcBorders>
            <w:shd w:val="clear" w:color="auto" w:fill="auto"/>
            <w:noWrap/>
            <w:vAlign w:val="bottom"/>
            <w:hideMark/>
          </w:tcPr>
          <w:p w14:paraId="57BECB34" w14:textId="77777777" w:rsidR="00746438" w:rsidRDefault="00746438">
            <w:pPr>
              <w:jc w:val="right"/>
              <w:rPr>
                <w:sz w:val="20"/>
                <w:szCs w:val="20"/>
              </w:rPr>
            </w:pPr>
            <w:r>
              <w:rPr>
                <w:sz w:val="20"/>
                <w:szCs w:val="20"/>
              </w:rPr>
              <w:t>14.000</w:t>
            </w:r>
          </w:p>
        </w:tc>
      </w:tr>
      <w:tr w:rsidR="00746438" w14:paraId="1B96BF59" w14:textId="77777777" w:rsidTr="00EE162A">
        <w:trPr>
          <w:trHeight w:val="285"/>
        </w:trPr>
        <w:tc>
          <w:tcPr>
            <w:tcW w:w="611" w:type="dxa"/>
            <w:gridSpan w:val="2"/>
            <w:tcBorders>
              <w:top w:val="nil"/>
              <w:left w:val="nil"/>
              <w:bottom w:val="nil"/>
              <w:right w:val="nil"/>
            </w:tcBorders>
            <w:shd w:val="clear" w:color="auto" w:fill="auto"/>
            <w:noWrap/>
            <w:vAlign w:val="bottom"/>
            <w:hideMark/>
          </w:tcPr>
          <w:p w14:paraId="39F4545A" w14:textId="77777777" w:rsidR="00746438" w:rsidRDefault="00746438">
            <w:pPr>
              <w:rPr>
                <w:b/>
                <w:bCs/>
                <w:sz w:val="22"/>
                <w:szCs w:val="22"/>
              </w:rPr>
            </w:pPr>
            <w:r>
              <w:rPr>
                <w:b/>
                <w:bCs/>
                <w:sz w:val="22"/>
                <w:szCs w:val="22"/>
              </w:rPr>
              <w:t>III.</w:t>
            </w:r>
          </w:p>
        </w:tc>
        <w:tc>
          <w:tcPr>
            <w:tcW w:w="6380" w:type="dxa"/>
            <w:gridSpan w:val="2"/>
            <w:tcBorders>
              <w:top w:val="nil"/>
              <w:left w:val="nil"/>
              <w:bottom w:val="nil"/>
              <w:right w:val="nil"/>
            </w:tcBorders>
            <w:shd w:val="clear" w:color="auto" w:fill="auto"/>
            <w:noWrap/>
            <w:vAlign w:val="bottom"/>
            <w:hideMark/>
          </w:tcPr>
          <w:p w14:paraId="6D54E180" w14:textId="77777777" w:rsidR="00746438" w:rsidRDefault="00746438">
            <w:pPr>
              <w:rPr>
                <w:b/>
                <w:bCs/>
                <w:sz w:val="22"/>
                <w:szCs w:val="22"/>
              </w:rPr>
            </w:pPr>
            <w:r>
              <w:rPr>
                <w:b/>
                <w:bCs/>
                <w:sz w:val="22"/>
                <w:szCs w:val="22"/>
              </w:rPr>
              <w:t>PRORAČUNSKI PRESEŽEK / PRIMANJKLJAJ (I.-II.)</w:t>
            </w:r>
          </w:p>
        </w:tc>
        <w:tc>
          <w:tcPr>
            <w:tcW w:w="1340" w:type="dxa"/>
            <w:gridSpan w:val="2"/>
            <w:tcBorders>
              <w:top w:val="nil"/>
              <w:left w:val="nil"/>
              <w:bottom w:val="nil"/>
              <w:right w:val="nil"/>
            </w:tcBorders>
            <w:shd w:val="clear" w:color="auto" w:fill="auto"/>
            <w:noWrap/>
            <w:vAlign w:val="bottom"/>
            <w:hideMark/>
          </w:tcPr>
          <w:p w14:paraId="6C5BDF69" w14:textId="73868ACB" w:rsidR="00746438" w:rsidRDefault="00746438" w:rsidP="00F25567">
            <w:pPr>
              <w:jc w:val="right"/>
              <w:rPr>
                <w:b/>
                <w:bCs/>
                <w:sz w:val="22"/>
                <w:szCs w:val="22"/>
              </w:rPr>
            </w:pPr>
            <w:r>
              <w:rPr>
                <w:b/>
                <w:bCs/>
                <w:sz w:val="22"/>
                <w:szCs w:val="22"/>
              </w:rPr>
              <w:t>-</w:t>
            </w:r>
            <w:r w:rsidR="00F25567">
              <w:rPr>
                <w:b/>
                <w:bCs/>
                <w:sz w:val="22"/>
                <w:szCs w:val="22"/>
              </w:rPr>
              <w:t>2.154.284</w:t>
            </w:r>
          </w:p>
        </w:tc>
      </w:tr>
      <w:tr w:rsidR="00746438" w14:paraId="404FB106"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01378B15" w14:textId="77777777" w:rsidR="00746438" w:rsidRDefault="00746438">
            <w:pPr>
              <w:jc w:val="right"/>
              <w:rPr>
                <w:b/>
                <w:bCs/>
                <w:sz w:val="22"/>
                <w:szCs w:val="22"/>
              </w:rPr>
            </w:pPr>
          </w:p>
        </w:tc>
        <w:tc>
          <w:tcPr>
            <w:tcW w:w="6380" w:type="dxa"/>
            <w:gridSpan w:val="2"/>
            <w:tcBorders>
              <w:top w:val="nil"/>
              <w:left w:val="nil"/>
              <w:bottom w:val="nil"/>
              <w:right w:val="nil"/>
            </w:tcBorders>
            <w:shd w:val="clear" w:color="auto" w:fill="auto"/>
            <w:noWrap/>
            <w:vAlign w:val="bottom"/>
            <w:hideMark/>
          </w:tcPr>
          <w:p w14:paraId="4ADF5EA0" w14:textId="77777777" w:rsidR="00746438" w:rsidRDefault="00746438">
            <w:pPr>
              <w:rPr>
                <w:sz w:val="20"/>
                <w:szCs w:val="20"/>
              </w:rPr>
            </w:pPr>
          </w:p>
        </w:tc>
        <w:tc>
          <w:tcPr>
            <w:tcW w:w="1340" w:type="dxa"/>
            <w:gridSpan w:val="2"/>
            <w:tcBorders>
              <w:top w:val="nil"/>
              <w:left w:val="nil"/>
              <w:bottom w:val="nil"/>
              <w:right w:val="nil"/>
            </w:tcBorders>
            <w:shd w:val="clear" w:color="auto" w:fill="auto"/>
            <w:noWrap/>
            <w:vAlign w:val="bottom"/>
            <w:hideMark/>
          </w:tcPr>
          <w:p w14:paraId="763DEA3A" w14:textId="77777777" w:rsidR="00746438" w:rsidRDefault="00746438">
            <w:pPr>
              <w:rPr>
                <w:sz w:val="20"/>
                <w:szCs w:val="20"/>
              </w:rPr>
            </w:pPr>
          </w:p>
        </w:tc>
      </w:tr>
      <w:tr w:rsidR="00746438" w14:paraId="0AB9E7FC" w14:textId="77777777" w:rsidTr="00EE162A">
        <w:trPr>
          <w:trHeight w:val="315"/>
        </w:trPr>
        <w:tc>
          <w:tcPr>
            <w:tcW w:w="611" w:type="dxa"/>
            <w:gridSpan w:val="2"/>
            <w:tcBorders>
              <w:top w:val="single" w:sz="4" w:space="0" w:color="auto"/>
              <w:left w:val="nil"/>
              <w:bottom w:val="single" w:sz="4" w:space="0" w:color="auto"/>
              <w:right w:val="nil"/>
            </w:tcBorders>
            <w:shd w:val="clear" w:color="auto" w:fill="auto"/>
            <w:noWrap/>
            <w:vAlign w:val="bottom"/>
            <w:hideMark/>
          </w:tcPr>
          <w:p w14:paraId="4C471A0E" w14:textId="77777777" w:rsidR="00746438" w:rsidRDefault="00746438">
            <w:pPr>
              <w:rPr>
                <w:b/>
                <w:bCs/>
              </w:rPr>
            </w:pPr>
            <w:r>
              <w:rPr>
                <w:b/>
                <w:bCs/>
              </w:rPr>
              <w:t>B</w:t>
            </w:r>
          </w:p>
        </w:tc>
        <w:tc>
          <w:tcPr>
            <w:tcW w:w="6380" w:type="dxa"/>
            <w:gridSpan w:val="2"/>
            <w:tcBorders>
              <w:top w:val="single" w:sz="4" w:space="0" w:color="auto"/>
              <w:left w:val="nil"/>
              <w:bottom w:val="single" w:sz="4" w:space="0" w:color="auto"/>
              <w:right w:val="nil"/>
            </w:tcBorders>
            <w:shd w:val="clear" w:color="auto" w:fill="auto"/>
            <w:noWrap/>
            <w:vAlign w:val="bottom"/>
            <w:hideMark/>
          </w:tcPr>
          <w:p w14:paraId="5EBF73FC" w14:textId="77777777" w:rsidR="00746438" w:rsidRDefault="00746438">
            <w:pPr>
              <w:rPr>
                <w:b/>
                <w:bCs/>
              </w:rPr>
            </w:pPr>
            <w:r>
              <w:rPr>
                <w:b/>
                <w:bCs/>
              </w:rPr>
              <w:t>RAČUN FINANČNIH TERJATEV IN NALOŽB</w:t>
            </w:r>
          </w:p>
        </w:tc>
        <w:tc>
          <w:tcPr>
            <w:tcW w:w="1340" w:type="dxa"/>
            <w:gridSpan w:val="2"/>
            <w:tcBorders>
              <w:top w:val="single" w:sz="4" w:space="0" w:color="auto"/>
              <w:left w:val="nil"/>
              <w:bottom w:val="single" w:sz="4" w:space="0" w:color="auto"/>
              <w:right w:val="nil"/>
            </w:tcBorders>
            <w:shd w:val="clear" w:color="auto" w:fill="auto"/>
            <w:noWrap/>
            <w:vAlign w:val="bottom"/>
            <w:hideMark/>
          </w:tcPr>
          <w:p w14:paraId="71D16FC6" w14:textId="66F0BC8B" w:rsidR="00746438" w:rsidRDefault="00746438">
            <w:pPr>
              <w:jc w:val="right"/>
              <w:rPr>
                <w:b/>
                <w:bCs/>
                <w:sz w:val="22"/>
                <w:szCs w:val="22"/>
              </w:rPr>
            </w:pPr>
            <w:r>
              <w:rPr>
                <w:b/>
                <w:bCs/>
                <w:sz w:val="22"/>
                <w:szCs w:val="22"/>
              </w:rPr>
              <w:t>leto 202</w:t>
            </w:r>
            <w:r w:rsidR="00F25567">
              <w:rPr>
                <w:b/>
                <w:bCs/>
                <w:sz w:val="22"/>
                <w:szCs w:val="22"/>
              </w:rPr>
              <w:t>5</w:t>
            </w:r>
          </w:p>
        </w:tc>
      </w:tr>
      <w:tr w:rsidR="00746438" w14:paraId="6388F2EA" w14:textId="77777777" w:rsidTr="00EE162A">
        <w:trPr>
          <w:trHeight w:val="285"/>
        </w:trPr>
        <w:tc>
          <w:tcPr>
            <w:tcW w:w="611" w:type="dxa"/>
            <w:gridSpan w:val="2"/>
            <w:tcBorders>
              <w:top w:val="nil"/>
              <w:left w:val="nil"/>
              <w:bottom w:val="nil"/>
              <w:right w:val="nil"/>
            </w:tcBorders>
            <w:shd w:val="clear" w:color="auto" w:fill="auto"/>
            <w:noWrap/>
            <w:vAlign w:val="bottom"/>
            <w:hideMark/>
          </w:tcPr>
          <w:p w14:paraId="19055523" w14:textId="77777777" w:rsidR="00746438" w:rsidRDefault="00746438">
            <w:pPr>
              <w:rPr>
                <w:b/>
                <w:bCs/>
                <w:sz w:val="22"/>
                <w:szCs w:val="22"/>
              </w:rPr>
            </w:pPr>
            <w:r>
              <w:rPr>
                <w:b/>
                <w:bCs/>
                <w:sz w:val="22"/>
                <w:szCs w:val="22"/>
              </w:rPr>
              <w:t>IV.</w:t>
            </w:r>
          </w:p>
        </w:tc>
        <w:tc>
          <w:tcPr>
            <w:tcW w:w="6380" w:type="dxa"/>
            <w:gridSpan w:val="2"/>
            <w:tcBorders>
              <w:top w:val="nil"/>
              <w:left w:val="nil"/>
              <w:bottom w:val="nil"/>
              <w:right w:val="nil"/>
            </w:tcBorders>
            <w:shd w:val="clear" w:color="auto" w:fill="auto"/>
            <w:noWrap/>
            <w:vAlign w:val="bottom"/>
            <w:hideMark/>
          </w:tcPr>
          <w:p w14:paraId="7C9FE818" w14:textId="77777777" w:rsidR="00746438" w:rsidRDefault="00746438">
            <w:pPr>
              <w:rPr>
                <w:b/>
                <w:bCs/>
                <w:sz w:val="22"/>
                <w:szCs w:val="22"/>
              </w:rPr>
            </w:pPr>
            <w:r>
              <w:rPr>
                <w:b/>
                <w:bCs/>
                <w:sz w:val="22"/>
                <w:szCs w:val="22"/>
              </w:rPr>
              <w:t>PREJETA VRAČ.DANIH POSOJ.IN PRODAJA KAP.D.</w:t>
            </w:r>
          </w:p>
        </w:tc>
        <w:tc>
          <w:tcPr>
            <w:tcW w:w="1340" w:type="dxa"/>
            <w:gridSpan w:val="2"/>
            <w:tcBorders>
              <w:top w:val="nil"/>
              <w:left w:val="nil"/>
              <w:bottom w:val="nil"/>
              <w:right w:val="nil"/>
            </w:tcBorders>
            <w:shd w:val="clear" w:color="auto" w:fill="auto"/>
            <w:noWrap/>
            <w:vAlign w:val="bottom"/>
            <w:hideMark/>
          </w:tcPr>
          <w:p w14:paraId="1D97CC65" w14:textId="77777777" w:rsidR="00746438" w:rsidRDefault="00746438">
            <w:pPr>
              <w:jc w:val="right"/>
              <w:rPr>
                <w:b/>
                <w:bCs/>
                <w:sz w:val="22"/>
                <w:szCs w:val="22"/>
              </w:rPr>
            </w:pPr>
            <w:r>
              <w:rPr>
                <w:b/>
                <w:bCs/>
                <w:sz w:val="22"/>
                <w:szCs w:val="22"/>
              </w:rPr>
              <w:t>0</w:t>
            </w:r>
          </w:p>
        </w:tc>
      </w:tr>
      <w:tr w:rsidR="00746438" w14:paraId="21B9BAA5"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17DBEC01" w14:textId="77777777" w:rsidR="00746438" w:rsidRDefault="00746438">
            <w:pPr>
              <w:jc w:val="right"/>
              <w:rPr>
                <w:b/>
                <w:bCs/>
                <w:sz w:val="22"/>
                <w:szCs w:val="22"/>
              </w:rPr>
            </w:pPr>
          </w:p>
        </w:tc>
        <w:tc>
          <w:tcPr>
            <w:tcW w:w="6380" w:type="dxa"/>
            <w:gridSpan w:val="2"/>
            <w:tcBorders>
              <w:top w:val="nil"/>
              <w:left w:val="nil"/>
              <w:bottom w:val="nil"/>
              <w:right w:val="nil"/>
            </w:tcBorders>
            <w:shd w:val="clear" w:color="auto" w:fill="auto"/>
            <w:noWrap/>
            <w:vAlign w:val="bottom"/>
            <w:hideMark/>
          </w:tcPr>
          <w:p w14:paraId="6AF9928A" w14:textId="77777777" w:rsidR="00746438" w:rsidRDefault="00746438">
            <w:pPr>
              <w:rPr>
                <w:b/>
                <w:bCs/>
                <w:sz w:val="20"/>
                <w:szCs w:val="20"/>
              </w:rPr>
            </w:pPr>
            <w:r>
              <w:rPr>
                <w:b/>
                <w:bCs/>
                <w:sz w:val="20"/>
                <w:szCs w:val="20"/>
              </w:rPr>
              <w:t>75  PREJETA VRAČ.DANIH POSOJ.IN PRODAJA KAP.D.</w:t>
            </w:r>
          </w:p>
        </w:tc>
        <w:tc>
          <w:tcPr>
            <w:tcW w:w="1340" w:type="dxa"/>
            <w:gridSpan w:val="2"/>
            <w:tcBorders>
              <w:top w:val="nil"/>
              <w:left w:val="nil"/>
              <w:bottom w:val="nil"/>
              <w:right w:val="nil"/>
            </w:tcBorders>
            <w:shd w:val="clear" w:color="auto" w:fill="auto"/>
            <w:noWrap/>
            <w:vAlign w:val="bottom"/>
            <w:hideMark/>
          </w:tcPr>
          <w:p w14:paraId="0377B079" w14:textId="77777777" w:rsidR="00746438" w:rsidRDefault="00746438">
            <w:pPr>
              <w:jc w:val="right"/>
              <w:rPr>
                <w:b/>
                <w:bCs/>
                <w:sz w:val="20"/>
                <w:szCs w:val="20"/>
              </w:rPr>
            </w:pPr>
            <w:r>
              <w:rPr>
                <w:b/>
                <w:bCs/>
                <w:sz w:val="20"/>
                <w:szCs w:val="20"/>
              </w:rPr>
              <w:t>0</w:t>
            </w:r>
          </w:p>
        </w:tc>
      </w:tr>
      <w:tr w:rsidR="00746438" w14:paraId="7A57E20D"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6D3A179E" w14:textId="77777777" w:rsidR="00746438" w:rsidRDefault="00746438">
            <w:pPr>
              <w:jc w:val="right"/>
              <w:rPr>
                <w:b/>
                <w:bCs/>
                <w:sz w:val="20"/>
                <w:szCs w:val="20"/>
              </w:rPr>
            </w:pPr>
          </w:p>
        </w:tc>
        <w:tc>
          <w:tcPr>
            <w:tcW w:w="6380" w:type="dxa"/>
            <w:gridSpan w:val="2"/>
            <w:tcBorders>
              <w:top w:val="nil"/>
              <w:left w:val="nil"/>
              <w:bottom w:val="nil"/>
              <w:right w:val="nil"/>
            </w:tcBorders>
            <w:shd w:val="clear" w:color="auto" w:fill="auto"/>
            <w:noWrap/>
            <w:vAlign w:val="bottom"/>
            <w:hideMark/>
          </w:tcPr>
          <w:p w14:paraId="68A8F3C5" w14:textId="77777777" w:rsidR="00746438" w:rsidRDefault="00746438">
            <w:pPr>
              <w:rPr>
                <w:sz w:val="20"/>
                <w:szCs w:val="20"/>
              </w:rPr>
            </w:pPr>
            <w:r>
              <w:rPr>
                <w:sz w:val="20"/>
                <w:szCs w:val="20"/>
              </w:rPr>
              <w:t>750 Prejeta vračila danih posojil</w:t>
            </w:r>
          </w:p>
        </w:tc>
        <w:tc>
          <w:tcPr>
            <w:tcW w:w="1340" w:type="dxa"/>
            <w:gridSpan w:val="2"/>
            <w:tcBorders>
              <w:top w:val="nil"/>
              <w:left w:val="nil"/>
              <w:bottom w:val="nil"/>
              <w:right w:val="nil"/>
            </w:tcBorders>
            <w:shd w:val="clear" w:color="auto" w:fill="auto"/>
            <w:noWrap/>
            <w:vAlign w:val="bottom"/>
            <w:hideMark/>
          </w:tcPr>
          <w:p w14:paraId="349CB1A5" w14:textId="77777777" w:rsidR="00746438" w:rsidRDefault="00746438">
            <w:pPr>
              <w:jc w:val="right"/>
              <w:rPr>
                <w:sz w:val="20"/>
                <w:szCs w:val="20"/>
              </w:rPr>
            </w:pPr>
            <w:r>
              <w:rPr>
                <w:sz w:val="20"/>
                <w:szCs w:val="20"/>
              </w:rPr>
              <w:t>0</w:t>
            </w:r>
          </w:p>
        </w:tc>
      </w:tr>
      <w:tr w:rsidR="00746438" w14:paraId="79780124" w14:textId="77777777" w:rsidTr="00EE162A">
        <w:trPr>
          <w:trHeight w:val="285"/>
        </w:trPr>
        <w:tc>
          <w:tcPr>
            <w:tcW w:w="611" w:type="dxa"/>
            <w:gridSpan w:val="2"/>
            <w:tcBorders>
              <w:top w:val="nil"/>
              <w:left w:val="nil"/>
              <w:bottom w:val="nil"/>
              <w:right w:val="nil"/>
            </w:tcBorders>
            <w:shd w:val="clear" w:color="auto" w:fill="auto"/>
            <w:noWrap/>
            <w:vAlign w:val="bottom"/>
            <w:hideMark/>
          </w:tcPr>
          <w:p w14:paraId="18880822" w14:textId="77777777" w:rsidR="00746438" w:rsidRDefault="00746438">
            <w:pPr>
              <w:rPr>
                <w:b/>
                <w:bCs/>
                <w:sz w:val="22"/>
                <w:szCs w:val="22"/>
              </w:rPr>
            </w:pPr>
            <w:r>
              <w:rPr>
                <w:b/>
                <w:bCs/>
                <w:sz w:val="22"/>
                <w:szCs w:val="22"/>
              </w:rPr>
              <w:t>V.</w:t>
            </w:r>
          </w:p>
        </w:tc>
        <w:tc>
          <w:tcPr>
            <w:tcW w:w="6380" w:type="dxa"/>
            <w:gridSpan w:val="2"/>
            <w:tcBorders>
              <w:top w:val="nil"/>
              <w:left w:val="nil"/>
              <w:bottom w:val="nil"/>
              <w:right w:val="nil"/>
            </w:tcBorders>
            <w:shd w:val="clear" w:color="auto" w:fill="auto"/>
            <w:noWrap/>
            <w:vAlign w:val="bottom"/>
            <w:hideMark/>
          </w:tcPr>
          <w:p w14:paraId="35ACBA1F" w14:textId="77777777" w:rsidR="00746438" w:rsidRDefault="00746438">
            <w:pPr>
              <w:rPr>
                <w:b/>
                <w:bCs/>
                <w:sz w:val="22"/>
                <w:szCs w:val="22"/>
              </w:rPr>
            </w:pPr>
            <w:r>
              <w:rPr>
                <w:b/>
                <w:bCs/>
                <w:sz w:val="22"/>
                <w:szCs w:val="22"/>
              </w:rPr>
              <w:t>DANA POSOJILA IN POVEČANJE KAPITAL.DELEŽEV</w:t>
            </w:r>
          </w:p>
        </w:tc>
        <w:tc>
          <w:tcPr>
            <w:tcW w:w="1340" w:type="dxa"/>
            <w:gridSpan w:val="2"/>
            <w:tcBorders>
              <w:top w:val="nil"/>
              <w:left w:val="nil"/>
              <w:bottom w:val="nil"/>
              <w:right w:val="nil"/>
            </w:tcBorders>
            <w:shd w:val="clear" w:color="auto" w:fill="auto"/>
            <w:noWrap/>
            <w:vAlign w:val="bottom"/>
            <w:hideMark/>
          </w:tcPr>
          <w:p w14:paraId="3E6D12D3" w14:textId="77777777" w:rsidR="00746438" w:rsidRDefault="00746438">
            <w:pPr>
              <w:jc w:val="right"/>
              <w:rPr>
                <w:b/>
                <w:bCs/>
                <w:sz w:val="22"/>
                <w:szCs w:val="22"/>
              </w:rPr>
            </w:pPr>
            <w:r>
              <w:rPr>
                <w:b/>
                <w:bCs/>
                <w:sz w:val="22"/>
                <w:szCs w:val="22"/>
              </w:rPr>
              <w:t>0</w:t>
            </w:r>
          </w:p>
        </w:tc>
      </w:tr>
      <w:tr w:rsidR="00746438" w14:paraId="7BBFE4EB"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0BD0AFC7" w14:textId="77777777" w:rsidR="00746438" w:rsidRDefault="00746438">
            <w:pPr>
              <w:jc w:val="right"/>
              <w:rPr>
                <w:b/>
                <w:bCs/>
                <w:sz w:val="22"/>
                <w:szCs w:val="22"/>
              </w:rPr>
            </w:pPr>
          </w:p>
        </w:tc>
        <w:tc>
          <w:tcPr>
            <w:tcW w:w="6380" w:type="dxa"/>
            <w:gridSpan w:val="2"/>
            <w:tcBorders>
              <w:top w:val="nil"/>
              <w:left w:val="nil"/>
              <w:bottom w:val="nil"/>
              <w:right w:val="nil"/>
            </w:tcBorders>
            <w:shd w:val="clear" w:color="auto" w:fill="auto"/>
            <w:noWrap/>
            <w:vAlign w:val="bottom"/>
            <w:hideMark/>
          </w:tcPr>
          <w:p w14:paraId="5FF415C5" w14:textId="77777777" w:rsidR="00746438" w:rsidRDefault="00746438">
            <w:pPr>
              <w:rPr>
                <w:b/>
                <w:bCs/>
                <w:sz w:val="20"/>
                <w:szCs w:val="20"/>
              </w:rPr>
            </w:pPr>
            <w:r>
              <w:rPr>
                <w:b/>
                <w:bCs/>
                <w:sz w:val="20"/>
                <w:szCs w:val="20"/>
              </w:rPr>
              <w:t>44  DANA POSOJILA IN POVEČANJE KAPITAL.DELEŽEV</w:t>
            </w:r>
          </w:p>
        </w:tc>
        <w:tc>
          <w:tcPr>
            <w:tcW w:w="1340" w:type="dxa"/>
            <w:gridSpan w:val="2"/>
            <w:tcBorders>
              <w:top w:val="nil"/>
              <w:left w:val="nil"/>
              <w:bottom w:val="nil"/>
              <w:right w:val="nil"/>
            </w:tcBorders>
            <w:shd w:val="clear" w:color="auto" w:fill="auto"/>
            <w:noWrap/>
            <w:vAlign w:val="bottom"/>
            <w:hideMark/>
          </w:tcPr>
          <w:p w14:paraId="31F4146A" w14:textId="77777777" w:rsidR="00746438" w:rsidRDefault="00746438">
            <w:pPr>
              <w:jc w:val="right"/>
              <w:rPr>
                <w:b/>
                <w:bCs/>
                <w:sz w:val="20"/>
                <w:szCs w:val="20"/>
              </w:rPr>
            </w:pPr>
            <w:r>
              <w:rPr>
                <w:b/>
                <w:bCs/>
                <w:sz w:val="20"/>
                <w:szCs w:val="20"/>
              </w:rPr>
              <w:t>0</w:t>
            </w:r>
          </w:p>
        </w:tc>
      </w:tr>
      <w:tr w:rsidR="00746438" w14:paraId="7DE47D4D"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0BBE1757" w14:textId="77777777" w:rsidR="00746438" w:rsidRDefault="00746438">
            <w:pPr>
              <w:jc w:val="right"/>
              <w:rPr>
                <w:b/>
                <w:bCs/>
                <w:sz w:val="20"/>
                <w:szCs w:val="20"/>
              </w:rPr>
            </w:pPr>
          </w:p>
        </w:tc>
        <w:tc>
          <w:tcPr>
            <w:tcW w:w="6380" w:type="dxa"/>
            <w:gridSpan w:val="2"/>
            <w:tcBorders>
              <w:top w:val="nil"/>
              <w:left w:val="nil"/>
              <w:bottom w:val="nil"/>
              <w:right w:val="nil"/>
            </w:tcBorders>
            <w:shd w:val="clear" w:color="auto" w:fill="auto"/>
            <w:noWrap/>
            <w:vAlign w:val="bottom"/>
            <w:hideMark/>
          </w:tcPr>
          <w:p w14:paraId="169223C6" w14:textId="77777777" w:rsidR="00746438" w:rsidRDefault="00746438">
            <w:pPr>
              <w:rPr>
                <w:sz w:val="20"/>
                <w:szCs w:val="20"/>
              </w:rPr>
            </w:pPr>
            <w:r>
              <w:rPr>
                <w:sz w:val="20"/>
                <w:szCs w:val="20"/>
              </w:rPr>
              <w:t>441 Povečanje kapitalskih deležev in finančnih naložb</w:t>
            </w:r>
          </w:p>
        </w:tc>
        <w:tc>
          <w:tcPr>
            <w:tcW w:w="1340" w:type="dxa"/>
            <w:gridSpan w:val="2"/>
            <w:tcBorders>
              <w:top w:val="nil"/>
              <w:left w:val="nil"/>
              <w:bottom w:val="nil"/>
              <w:right w:val="nil"/>
            </w:tcBorders>
            <w:shd w:val="clear" w:color="auto" w:fill="auto"/>
            <w:noWrap/>
            <w:vAlign w:val="bottom"/>
            <w:hideMark/>
          </w:tcPr>
          <w:p w14:paraId="7F731B1F" w14:textId="77777777" w:rsidR="00746438" w:rsidRDefault="00746438">
            <w:pPr>
              <w:jc w:val="right"/>
              <w:rPr>
                <w:sz w:val="20"/>
                <w:szCs w:val="20"/>
              </w:rPr>
            </w:pPr>
            <w:r>
              <w:rPr>
                <w:sz w:val="20"/>
                <w:szCs w:val="20"/>
              </w:rPr>
              <w:t>0</w:t>
            </w:r>
          </w:p>
        </w:tc>
      </w:tr>
      <w:tr w:rsidR="00746438" w14:paraId="44C9447C" w14:textId="77777777" w:rsidTr="00EE162A">
        <w:trPr>
          <w:trHeight w:val="285"/>
        </w:trPr>
        <w:tc>
          <w:tcPr>
            <w:tcW w:w="611" w:type="dxa"/>
            <w:gridSpan w:val="2"/>
            <w:tcBorders>
              <w:top w:val="nil"/>
              <w:left w:val="nil"/>
              <w:bottom w:val="nil"/>
              <w:right w:val="nil"/>
            </w:tcBorders>
            <w:shd w:val="clear" w:color="auto" w:fill="auto"/>
            <w:noWrap/>
            <w:vAlign w:val="bottom"/>
            <w:hideMark/>
          </w:tcPr>
          <w:p w14:paraId="41A7FBB8" w14:textId="77777777" w:rsidR="00746438" w:rsidRDefault="00746438">
            <w:pPr>
              <w:rPr>
                <w:b/>
                <w:bCs/>
                <w:sz w:val="22"/>
                <w:szCs w:val="22"/>
              </w:rPr>
            </w:pPr>
            <w:r>
              <w:rPr>
                <w:b/>
                <w:bCs/>
                <w:sz w:val="22"/>
                <w:szCs w:val="22"/>
              </w:rPr>
              <w:t>VI.</w:t>
            </w:r>
          </w:p>
        </w:tc>
        <w:tc>
          <w:tcPr>
            <w:tcW w:w="6380" w:type="dxa"/>
            <w:gridSpan w:val="2"/>
            <w:tcBorders>
              <w:top w:val="nil"/>
              <w:left w:val="nil"/>
              <w:bottom w:val="nil"/>
              <w:right w:val="nil"/>
            </w:tcBorders>
            <w:shd w:val="clear" w:color="auto" w:fill="auto"/>
            <w:noWrap/>
            <w:vAlign w:val="bottom"/>
            <w:hideMark/>
          </w:tcPr>
          <w:p w14:paraId="64708859" w14:textId="77777777" w:rsidR="00746438" w:rsidRDefault="00746438">
            <w:pPr>
              <w:rPr>
                <w:b/>
                <w:bCs/>
                <w:sz w:val="22"/>
                <w:szCs w:val="22"/>
              </w:rPr>
            </w:pPr>
            <w:r>
              <w:rPr>
                <w:b/>
                <w:bCs/>
                <w:sz w:val="22"/>
                <w:szCs w:val="22"/>
              </w:rPr>
              <w:t>PREJETA MINUS DANA POSOJILA IN SPREMEMBE</w:t>
            </w:r>
          </w:p>
        </w:tc>
        <w:tc>
          <w:tcPr>
            <w:tcW w:w="1340" w:type="dxa"/>
            <w:gridSpan w:val="2"/>
            <w:tcBorders>
              <w:top w:val="nil"/>
              <w:left w:val="nil"/>
              <w:bottom w:val="nil"/>
              <w:right w:val="nil"/>
            </w:tcBorders>
            <w:shd w:val="clear" w:color="auto" w:fill="auto"/>
            <w:noWrap/>
            <w:vAlign w:val="bottom"/>
            <w:hideMark/>
          </w:tcPr>
          <w:p w14:paraId="4C2BBB9D" w14:textId="77777777" w:rsidR="00746438" w:rsidRDefault="00746438">
            <w:pPr>
              <w:rPr>
                <w:b/>
                <w:bCs/>
                <w:sz w:val="22"/>
                <w:szCs w:val="22"/>
              </w:rPr>
            </w:pPr>
            <w:r>
              <w:rPr>
                <w:b/>
                <w:bCs/>
                <w:sz w:val="22"/>
                <w:szCs w:val="22"/>
              </w:rPr>
              <w:t xml:space="preserve"> </w:t>
            </w:r>
          </w:p>
        </w:tc>
      </w:tr>
      <w:tr w:rsidR="00746438" w14:paraId="4454A46E" w14:textId="77777777" w:rsidTr="00EE162A">
        <w:trPr>
          <w:trHeight w:val="285"/>
        </w:trPr>
        <w:tc>
          <w:tcPr>
            <w:tcW w:w="611" w:type="dxa"/>
            <w:gridSpan w:val="2"/>
            <w:tcBorders>
              <w:top w:val="nil"/>
              <w:left w:val="nil"/>
              <w:bottom w:val="nil"/>
              <w:right w:val="nil"/>
            </w:tcBorders>
            <w:shd w:val="clear" w:color="auto" w:fill="auto"/>
            <w:noWrap/>
            <w:vAlign w:val="bottom"/>
            <w:hideMark/>
          </w:tcPr>
          <w:p w14:paraId="785529B4" w14:textId="77777777" w:rsidR="00746438" w:rsidRDefault="00746438">
            <w:pPr>
              <w:rPr>
                <w:b/>
                <w:bCs/>
                <w:sz w:val="22"/>
                <w:szCs w:val="22"/>
              </w:rPr>
            </w:pPr>
          </w:p>
        </w:tc>
        <w:tc>
          <w:tcPr>
            <w:tcW w:w="6380" w:type="dxa"/>
            <w:gridSpan w:val="2"/>
            <w:tcBorders>
              <w:top w:val="nil"/>
              <w:left w:val="nil"/>
              <w:bottom w:val="nil"/>
              <w:right w:val="nil"/>
            </w:tcBorders>
            <w:shd w:val="clear" w:color="auto" w:fill="auto"/>
            <w:noWrap/>
            <w:vAlign w:val="bottom"/>
            <w:hideMark/>
          </w:tcPr>
          <w:p w14:paraId="762DC45D" w14:textId="77777777" w:rsidR="00746438" w:rsidRDefault="00746438">
            <w:pPr>
              <w:rPr>
                <w:b/>
                <w:bCs/>
                <w:sz w:val="22"/>
                <w:szCs w:val="22"/>
              </w:rPr>
            </w:pPr>
            <w:r>
              <w:rPr>
                <w:b/>
                <w:bCs/>
                <w:sz w:val="22"/>
                <w:szCs w:val="22"/>
              </w:rPr>
              <w:t>KAPITALSKIH DELEŽEV (IV. - V.)</w:t>
            </w:r>
          </w:p>
        </w:tc>
        <w:tc>
          <w:tcPr>
            <w:tcW w:w="1340" w:type="dxa"/>
            <w:gridSpan w:val="2"/>
            <w:tcBorders>
              <w:top w:val="nil"/>
              <w:left w:val="nil"/>
              <w:bottom w:val="nil"/>
              <w:right w:val="nil"/>
            </w:tcBorders>
            <w:shd w:val="clear" w:color="auto" w:fill="auto"/>
            <w:noWrap/>
            <w:vAlign w:val="bottom"/>
            <w:hideMark/>
          </w:tcPr>
          <w:p w14:paraId="54D32C3B" w14:textId="77777777" w:rsidR="00746438" w:rsidRDefault="00746438">
            <w:pPr>
              <w:jc w:val="right"/>
              <w:rPr>
                <w:b/>
                <w:bCs/>
                <w:sz w:val="22"/>
                <w:szCs w:val="22"/>
              </w:rPr>
            </w:pPr>
            <w:r>
              <w:rPr>
                <w:b/>
                <w:bCs/>
                <w:sz w:val="22"/>
                <w:szCs w:val="22"/>
              </w:rPr>
              <w:t>0</w:t>
            </w:r>
          </w:p>
        </w:tc>
      </w:tr>
      <w:tr w:rsidR="00746438" w14:paraId="48CC892D"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7E34F75C" w14:textId="77777777" w:rsidR="00746438" w:rsidRDefault="00746438">
            <w:pPr>
              <w:jc w:val="right"/>
              <w:rPr>
                <w:b/>
                <w:bCs/>
                <w:sz w:val="22"/>
                <w:szCs w:val="22"/>
              </w:rPr>
            </w:pPr>
          </w:p>
        </w:tc>
        <w:tc>
          <w:tcPr>
            <w:tcW w:w="6380" w:type="dxa"/>
            <w:gridSpan w:val="2"/>
            <w:tcBorders>
              <w:top w:val="nil"/>
              <w:left w:val="nil"/>
              <w:bottom w:val="nil"/>
              <w:right w:val="nil"/>
            </w:tcBorders>
            <w:shd w:val="clear" w:color="auto" w:fill="auto"/>
            <w:noWrap/>
            <w:vAlign w:val="bottom"/>
            <w:hideMark/>
          </w:tcPr>
          <w:p w14:paraId="510277BC" w14:textId="77777777" w:rsidR="00746438" w:rsidRDefault="00746438">
            <w:pPr>
              <w:rPr>
                <w:sz w:val="20"/>
                <w:szCs w:val="20"/>
              </w:rPr>
            </w:pPr>
          </w:p>
        </w:tc>
        <w:tc>
          <w:tcPr>
            <w:tcW w:w="1340" w:type="dxa"/>
            <w:gridSpan w:val="2"/>
            <w:tcBorders>
              <w:top w:val="nil"/>
              <w:left w:val="nil"/>
              <w:bottom w:val="nil"/>
              <w:right w:val="nil"/>
            </w:tcBorders>
            <w:shd w:val="clear" w:color="auto" w:fill="auto"/>
            <w:noWrap/>
            <w:vAlign w:val="bottom"/>
            <w:hideMark/>
          </w:tcPr>
          <w:p w14:paraId="66B8561D" w14:textId="77777777" w:rsidR="00746438" w:rsidRDefault="00746438">
            <w:pPr>
              <w:rPr>
                <w:sz w:val="20"/>
                <w:szCs w:val="20"/>
              </w:rPr>
            </w:pPr>
          </w:p>
        </w:tc>
      </w:tr>
      <w:tr w:rsidR="00746438" w14:paraId="1E692436" w14:textId="77777777" w:rsidTr="00EE162A">
        <w:trPr>
          <w:trHeight w:val="315"/>
        </w:trPr>
        <w:tc>
          <w:tcPr>
            <w:tcW w:w="611" w:type="dxa"/>
            <w:gridSpan w:val="2"/>
            <w:tcBorders>
              <w:top w:val="single" w:sz="4" w:space="0" w:color="auto"/>
              <w:left w:val="nil"/>
              <w:bottom w:val="single" w:sz="4" w:space="0" w:color="auto"/>
              <w:right w:val="nil"/>
            </w:tcBorders>
            <w:shd w:val="clear" w:color="auto" w:fill="auto"/>
            <w:noWrap/>
            <w:vAlign w:val="bottom"/>
            <w:hideMark/>
          </w:tcPr>
          <w:p w14:paraId="69B759BD" w14:textId="77777777" w:rsidR="00746438" w:rsidRDefault="00746438">
            <w:pPr>
              <w:rPr>
                <w:b/>
                <w:bCs/>
              </w:rPr>
            </w:pPr>
            <w:r>
              <w:rPr>
                <w:b/>
                <w:bCs/>
              </w:rPr>
              <w:t>C</w:t>
            </w:r>
          </w:p>
        </w:tc>
        <w:tc>
          <w:tcPr>
            <w:tcW w:w="6380" w:type="dxa"/>
            <w:gridSpan w:val="2"/>
            <w:tcBorders>
              <w:top w:val="single" w:sz="4" w:space="0" w:color="auto"/>
              <w:left w:val="nil"/>
              <w:bottom w:val="single" w:sz="4" w:space="0" w:color="auto"/>
              <w:right w:val="nil"/>
            </w:tcBorders>
            <w:shd w:val="clear" w:color="auto" w:fill="auto"/>
            <w:noWrap/>
            <w:vAlign w:val="bottom"/>
            <w:hideMark/>
          </w:tcPr>
          <w:p w14:paraId="39FA920F" w14:textId="77777777" w:rsidR="00746438" w:rsidRDefault="00746438">
            <w:pPr>
              <w:rPr>
                <w:b/>
                <w:bCs/>
              </w:rPr>
            </w:pPr>
            <w:r>
              <w:rPr>
                <w:b/>
                <w:bCs/>
              </w:rPr>
              <w:t>RAČUN FINANCIRANJA</w:t>
            </w:r>
          </w:p>
        </w:tc>
        <w:tc>
          <w:tcPr>
            <w:tcW w:w="1340" w:type="dxa"/>
            <w:gridSpan w:val="2"/>
            <w:tcBorders>
              <w:top w:val="single" w:sz="4" w:space="0" w:color="auto"/>
              <w:left w:val="nil"/>
              <w:bottom w:val="single" w:sz="4" w:space="0" w:color="auto"/>
              <w:right w:val="nil"/>
            </w:tcBorders>
            <w:shd w:val="clear" w:color="auto" w:fill="auto"/>
            <w:noWrap/>
            <w:vAlign w:val="bottom"/>
            <w:hideMark/>
          </w:tcPr>
          <w:p w14:paraId="5CC22097" w14:textId="48A31F49" w:rsidR="00746438" w:rsidRDefault="00746438">
            <w:pPr>
              <w:jc w:val="right"/>
              <w:rPr>
                <w:b/>
                <w:bCs/>
                <w:sz w:val="22"/>
                <w:szCs w:val="22"/>
              </w:rPr>
            </w:pPr>
            <w:r>
              <w:rPr>
                <w:b/>
                <w:bCs/>
                <w:sz w:val="22"/>
                <w:szCs w:val="22"/>
              </w:rPr>
              <w:t>leto 202</w:t>
            </w:r>
            <w:r w:rsidR="00F25567">
              <w:rPr>
                <w:b/>
                <w:bCs/>
                <w:sz w:val="22"/>
                <w:szCs w:val="22"/>
              </w:rPr>
              <w:t>5</w:t>
            </w:r>
          </w:p>
        </w:tc>
      </w:tr>
      <w:tr w:rsidR="00746438" w14:paraId="66EB8FE1" w14:textId="77777777" w:rsidTr="00EE162A">
        <w:trPr>
          <w:trHeight w:val="285"/>
        </w:trPr>
        <w:tc>
          <w:tcPr>
            <w:tcW w:w="611" w:type="dxa"/>
            <w:gridSpan w:val="2"/>
            <w:tcBorders>
              <w:top w:val="nil"/>
              <w:left w:val="nil"/>
              <w:bottom w:val="nil"/>
              <w:right w:val="nil"/>
            </w:tcBorders>
            <w:shd w:val="clear" w:color="auto" w:fill="auto"/>
            <w:noWrap/>
            <w:vAlign w:val="bottom"/>
            <w:hideMark/>
          </w:tcPr>
          <w:p w14:paraId="429EFFE9" w14:textId="77777777" w:rsidR="00746438" w:rsidRDefault="00746438">
            <w:pPr>
              <w:rPr>
                <w:b/>
                <w:bCs/>
                <w:sz w:val="22"/>
                <w:szCs w:val="22"/>
              </w:rPr>
            </w:pPr>
            <w:r>
              <w:rPr>
                <w:b/>
                <w:bCs/>
                <w:sz w:val="22"/>
                <w:szCs w:val="22"/>
              </w:rPr>
              <w:t>VII.</w:t>
            </w:r>
          </w:p>
        </w:tc>
        <w:tc>
          <w:tcPr>
            <w:tcW w:w="6380" w:type="dxa"/>
            <w:gridSpan w:val="2"/>
            <w:tcBorders>
              <w:top w:val="nil"/>
              <w:left w:val="nil"/>
              <w:bottom w:val="nil"/>
              <w:right w:val="nil"/>
            </w:tcBorders>
            <w:shd w:val="clear" w:color="auto" w:fill="auto"/>
            <w:noWrap/>
            <w:vAlign w:val="bottom"/>
            <w:hideMark/>
          </w:tcPr>
          <w:p w14:paraId="68CC74BE" w14:textId="77777777" w:rsidR="00746438" w:rsidRDefault="00746438">
            <w:pPr>
              <w:rPr>
                <w:b/>
                <w:bCs/>
                <w:sz w:val="22"/>
                <w:szCs w:val="22"/>
              </w:rPr>
            </w:pPr>
            <w:r>
              <w:rPr>
                <w:b/>
                <w:bCs/>
                <w:sz w:val="22"/>
                <w:szCs w:val="22"/>
              </w:rPr>
              <w:t>ZADOLŽEVANJE</w:t>
            </w:r>
          </w:p>
        </w:tc>
        <w:tc>
          <w:tcPr>
            <w:tcW w:w="1340" w:type="dxa"/>
            <w:gridSpan w:val="2"/>
            <w:tcBorders>
              <w:top w:val="nil"/>
              <w:left w:val="nil"/>
              <w:bottom w:val="nil"/>
              <w:right w:val="nil"/>
            </w:tcBorders>
            <w:shd w:val="clear" w:color="auto" w:fill="auto"/>
            <w:noWrap/>
            <w:vAlign w:val="bottom"/>
            <w:hideMark/>
          </w:tcPr>
          <w:p w14:paraId="06A79AD5" w14:textId="0FAECB3F" w:rsidR="00746438" w:rsidRDefault="00F25567">
            <w:pPr>
              <w:jc w:val="right"/>
              <w:rPr>
                <w:b/>
                <w:bCs/>
                <w:sz w:val="22"/>
                <w:szCs w:val="22"/>
              </w:rPr>
            </w:pPr>
            <w:r>
              <w:rPr>
                <w:b/>
                <w:bCs/>
                <w:sz w:val="22"/>
                <w:szCs w:val="22"/>
              </w:rPr>
              <w:t>1.9</w:t>
            </w:r>
            <w:r w:rsidR="00746438">
              <w:rPr>
                <w:b/>
                <w:bCs/>
                <w:sz w:val="22"/>
                <w:szCs w:val="22"/>
              </w:rPr>
              <w:t>00.000</w:t>
            </w:r>
          </w:p>
        </w:tc>
      </w:tr>
      <w:tr w:rsidR="00746438" w14:paraId="28A2BEB2"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75FB94E9" w14:textId="77777777" w:rsidR="00746438" w:rsidRDefault="00746438">
            <w:pPr>
              <w:jc w:val="right"/>
              <w:rPr>
                <w:b/>
                <w:bCs/>
                <w:sz w:val="22"/>
                <w:szCs w:val="22"/>
              </w:rPr>
            </w:pPr>
          </w:p>
        </w:tc>
        <w:tc>
          <w:tcPr>
            <w:tcW w:w="6380" w:type="dxa"/>
            <w:gridSpan w:val="2"/>
            <w:tcBorders>
              <w:top w:val="nil"/>
              <w:left w:val="nil"/>
              <w:bottom w:val="nil"/>
              <w:right w:val="nil"/>
            </w:tcBorders>
            <w:shd w:val="clear" w:color="auto" w:fill="auto"/>
            <w:noWrap/>
            <w:vAlign w:val="bottom"/>
            <w:hideMark/>
          </w:tcPr>
          <w:p w14:paraId="4F8C973E" w14:textId="77777777" w:rsidR="00746438" w:rsidRDefault="00746438">
            <w:pPr>
              <w:rPr>
                <w:b/>
                <w:bCs/>
                <w:sz w:val="20"/>
                <w:szCs w:val="20"/>
              </w:rPr>
            </w:pPr>
            <w:r>
              <w:rPr>
                <w:b/>
                <w:bCs/>
                <w:sz w:val="20"/>
                <w:szCs w:val="20"/>
              </w:rPr>
              <w:t>50  ZADOLŽEVANJE</w:t>
            </w:r>
          </w:p>
        </w:tc>
        <w:tc>
          <w:tcPr>
            <w:tcW w:w="1340" w:type="dxa"/>
            <w:gridSpan w:val="2"/>
            <w:tcBorders>
              <w:top w:val="nil"/>
              <w:left w:val="nil"/>
              <w:bottom w:val="nil"/>
              <w:right w:val="nil"/>
            </w:tcBorders>
            <w:shd w:val="clear" w:color="auto" w:fill="auto"/>
            <w:noWrap/>
            <w:vAlign w:val="bottom"/>
            <w:hideMark/>
          </w:tcPr>
          <w:p w14:paraId="5F93153D" w14:textId="0DD94A1B" w:rsidR="00746438" w:rsidRDefault="00F25567">
            <w:pPr>
              <w:jc w:val="right"/>
              <w:rPr>
                <w:b/>
                <w:bCs/>
                <w:sz w:val="20"/>
                <w:szCs w:val="20"/>
              </w:rPr>
            </w:pPr>
            <w:r>
              <w:rPr>
                <w:b/>
                <w:bCs/>
                <w:sz w:val="20"/>
                <w:szCs w:val="20"/>
              </w:rPr>
              <w:t>1.9</w:t>
            </w:r>
            <w:r w:rsidR="00746438">
              <w:rPr>
                <w:b/>
                <w:bCs/>
                <w:sz w:val="20"/>
                <w:szCs w:val="20"/>
              </w:rPr>
              <w:t>00.000</w:t>
            </w:r>
          </w:p>
        </w:tc>
      </w:tr>
      <w:tr w:rsidR="00746438" w14:paraId="0ED4FAC9"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067A7DF9" w14:textId="77777777" w:rsidR="00746438" w:rsidRDefault="00746438">
            <w:pPr>
              <w:jc w:val="right"/>
              <w:rPr>
                <w:b/>
                <w:bCs/>
                <w:sz w:val="20"/>
                <w:szCs w:val="20"/>
              </w:rPr>
            </w:pPr>
          </w:p>
        </w:tc>
        <w:tc>
          <w:tcPr>
            <w:tcW w:w="6380" w:type="dxa"/>
            <w:gridSpan w:val="2"/>
            <w:tcBorders>
              <w:top w:val="nil"/>
              <w:left w:val="nil"/>
              <w:bottom w:val="nil"/>
              <w:right w:val="nil"/>
            </w:tcBorders>
            <w:shd w:val="clear" w:color="auto" w:fill="auto"/>
            <w:noWrap/>
            <w:vAlign w:val="bottom"/>
            <w:hideMark/>
          </w:tcPr>
          <w:p w14:paraId="243F5BA0" w14:textId="77777777" w:rsidR="00746438" w:rsidRDefault="00746438">
            <w:pPr>
              <w:rPr>
                <w:sz w:val="20"/>
                <w:szCs w:val="20"/>
              </w:rPr>
            </w:pPr>
            <w:r>
              <w:rPr>
                <w:sz w:val="20"/>
                <w:szCs w:val="20"/>
              </w:rPr>
              <w:t>500 Domače zadolževanje</w:t>
            </w:r>
          </w:p>
        </w:tc>
        <w:tc>
          <w:tcPr>
            <w:tcW w:w="1340" w:type="dxa"/>
            <w:gridSpan w:val="2"/>
            <w:tcBorders>
              <w:top w:val="nil"/>
              <w:left w:val="nil"/>
              <w:bottom w:val="nil"/>
              <w:right w:val="nil"/>
            </w:tcBorders>
            <w:shd w:val="clear" w:color="auto" w:fill="auto"/>
            <w:noWrap/>
            <w:vAlign w:val="bottom"/>
            <w:hideMark/>
          </w:tcPr>
          <w:p w14:paraId="2DAADC5F" w14:textId="6E231AEC" w:rsidR="00746438" w:rsidRDefault="00F25567">
            <w:pPr>
              <w:jc w:val="right"/>
              <w:rPr>
                <w:sz w:val="20"/>
                <w:szCs w:val="20"/>
              </w:rPr>
            </w:pPr>
            <w:r>
              <w:rPr>
                <w:sz w:val="20"/>
                <w:szCs w:val="20"/>
              </w:rPr>
              <w:t>1.9</w:t>
            </w:r>
            <w:r w:rsidR="00746438">
              <w:rPr>
                <w:sz w:val="20"/>
                <w:szCs w:val="20"/>
              </w:rPr>
              <w:t>00.000</w:t>
            </w:r>
          </w:p>
        </w:tc>
      </w:tr>
      <w:tr w:rsidR="00746438" w14:paraId="3AF877E8" w14:textId="77777777" w:rsidTr="00EE162A">
        <w:trPr>
          <w:trHeight w:val="285"/>
        </w:trPr>
        <w:tc>
          <w:tcPr>
            <w:tcW w:w="611" w:type="dxa"/>
            <w:gridSpan w:val="2"/>
            <w:tcBorders>
              <w:top w:val="nil"/>
              <w:left w:val="nil"/>
              <w:bottom w:val="nil"/>
              <w:right w:val="nil"/>
            </w:tcBorders>
            <w:shd w:val="clear" w:color="auto" w:fill="auto"/>
            <w:noWrap/>
            <w:vAlign w:val="bottom"/>
            <w:hideMark/>
          </w:tcPr>
          <w:p w14:paraId="1BA5B56E" w14:textId="77777777" w:rsidR="00746438" w:rsidRDefault="00746438">
            <w:pPr>
              <w:rPr>
                <w:b/>
                <w:bCs/>
                <w:sz w:val="22"/>
                <w:szCs w:val="22"/>
              </w:rPr>
            </w:pPr>
            <w:r>
              <w:rPr>
                <w:b/>
                <w:bCs/>
                <w:sz w:val="22"/>
                <w:szCs w:val="22"/>
              </w:rPr>
              <w:t>VIII.</w:t>
            </w:r>
          </w:p>
        </w:tc>
        <w:tc>
          <w:tcPr>
            <w:tcW w:w="6380" w:type="dxa"/>
            <w:gridSpan w:val="2"/>
            <w:tcBorders>
              <w:top w:val="nil"/>
              <w:left w:val="nil"/>
              <w:bottom w:val="nil"/>
              <w:right w:val="nil"/>
            </w:tcBorders>
            <w:shd w:val="clear" w:color="auto" w:fill="auto"/>
            <w:noWrap/>
            <w:vAlign w:val="bottom"/>
            <w:hideMark/>
          </w:tcPr>
          <w:p w14:paraId="3F2E1095" w14:textId="77777777" w:rsidR="00746438" w:rsidRDefault="00746438">
            <w:pPr>
              <w:rPr>
                <w:b/>
                <w:bCs/>
                <w:sz w:val="22"/>
                <w:szCs w:val="22"/>
              </w:rPr>
            </w:pPr>
            <w:r>
              <w:rPr>
                <w:b/>
                <w:bCs/>
                <w:sz w:val="22"/>
                <w:szCs w:val="22"/>
              </w:rPr>
              <w:t>ODPLAČILO DOLGA</w:t>
            </w:r>
          </w:p>
        </w:tc>
        <w:tc>
          <w:tcPr>
            <w:tcW w:w="1340" w:type="dxa"/>
            <w:gridSpan w:val="2"/>
            <w:tcBorders>
              <w:top w:val="nil"/>
              <w:left w:val="nil"/>
              <w:bottom w:val="nil"/>
              <w:right w:val="nil"/>
            </w:tcBorders>
            <w:shd w:val="clear" w:color="auto" w:fill="auto"/>
            <w:noWrap/>
            <w:vAlign w:val="bottom"/>
            <w:hideMark/>
          </w:tcPr>
          <w:p w14:paraId="653EF2E0" w14:textId="6FC2BC60" w:rsidR="00746438" w:rsidRDefault="00F25567">
            <w:pPr>
              <w:jc w:val="right"/>
              <w:rPr>
                <w:b/>
                <w:bCs/>
                <w:sz w:val="22"/>
                <w:szCs w:val="22"/>
              </w:rPr>
            </w:pPr>
            <w:r>
              <w:rPr>
                <w:b/>
                <w:bCs/>
                <w:sz w:val="22"/>
                <w:szCs w:val="22"/>
              </w:rPr>
              <w:t>415.91</w:t>
            </w:r>
            <w:r w:rsidR="00746438">
              <w:rPr>
                <w:b/>
                <w:bCs/>
                <w:sz w:val="22"/>
                <w:szCs w:val="22"/>
              </w:rPr>
              <w:t>0</w:t>
            </w:r>
          </w:p>
        </w:tc>
      </w:tr>
      <w:tr w:rsidR="00746438" w14:paraId="16A08573"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691CD4C6" w14:textId="77777777" w:rsidR="00746438" w:rsidRDefault="00746438">
            <w:pPr>
              <w:jc w:val="right"/>
              <w:rPr>
                <w:b/>
                <w:bCs/>
                <w:sz w:val="22"/>
                <w:szCs w:val="22"/>
              </w:rPr>
            </w:pPr>
          </w:p>
        </w:tc>
        <w:tc>
          <w:tcPr>
            <w:tcW w:w="6380" w:type="dxa"/>
            <w:gridSpan w:val="2"/>
            <w:tcBorders>
              <w:top w:val="nil"/>
              <w:left w:val="nil"/>
              <w:bottom w:val="nil"/>
              <w:right w:val="nil"/>
            </w:tcBorders>
            <w:shd w:val="clear" w:color="auto" w:fill="auto"/>
            <w:noWrap/>
            <w:vAlign w:val="bottom"/>
            <w:hideMark/>
          </w:tcPr>
          <w:p w14:paraId="121B9370" w14:textId="77777777" w:rsidR="00746438" w:rsidRDefault="00746438">
            <w:pPr>
              <w:rPr>
                <w:b/>
                <w:bCs/>
                <w:sz w:val="20"/>
                <w:szCs w:val="20"/>
              </w:rPr>
            </w:pPr>
            <w:r>
              <w:rPr>
                <w:b/>
                <w:bCs/>
                <w:sz w:val="20"/>
                <w:szCs w:val="20"/>
              </w:rPr>
              <w:t>55  ODPLAČILO DOLGA</w:t>
            </w:r>
          </w:p>
        </w:tc>
        <w:tc>
          <w:tcPr>
            <w:tcW w:w="1340" w:type="dxa"/>
            <w:gridSpan w:val="2"/>
            <w:tcBorders>
              <w:top w:val="nil"/>
              <w:left w:val="nil"/>
              <w:bottom w:val="nil"/>
              <w:right w:val="nil"/>
            </w:tcBorders>
            <w:shd w:val="clear" w:color="auto" w:fill="auto"/>
            <w:noWrap/>
            <w:vAlign w:val="bottom"/>
            <w:hideMark/>
          </w:tcPr>
          <w:p w14:paraId="46F3EB8E" w14:textId="43170547" w:rsidR="00746438" w:rsidRDefault="00F25567">
            <w:pPr>
              <w:jc w:val="right"/>
              <w:rPr>
                <w:b/>
                <w:bCs/>
                <w:sz w:val="20"/>
                <w:szCs w:val="20"/>
              </w:rPr>
            </w:pPr>
            <w:r>
              <w:rPr>
                <w:b/>
                <w:bCs/>
                <w:sz w:val="20"/>
                <w:szCs w:val="20"/>
              </w:rPr>
              <w:t>415.91</w:t>
            </w:r>
            <w:r w:rsidR="00746438">
              <w:rPr>
                <w:b/>
                <w:bCs/>
                <w:sz w:val="20"/>
                <w:szCs w:val="20"/>
              </w:rPr>
              <w:t>0</w:t>
            </w:r>
          </w:p>
        </w:tc>
      </w:tr>
      <w:tr w:rsidR="00746438" w14:paraId="65416068" w14:textId="77777777" w:rsidTr="00EE162A">
        <w:trPr>
          <w:trHeight w:val="255"/>
        </w:trPr>
        <w:tc>
          <w:tcPr>
            <w:tcW w:w="611" w:type="dxa"/>
            <w:gridSpan w:val="2"/>
            <w:tcBorders>
              <w:top w:val="nil"/>
              <w:left w:val="nil"/>
              <w:bottom w:val="nil"/>
              <w:right w:val="nil"/>
            </w:tcBorders>
            <w:shd w:val="clear" w:color="auto" w:fill="auto"/>
            <w:noWrap/>
            <w:vAlign w:val="bottom"/>
            <w:hideMark/>
          </w:tcPr>
          <w:p w14:paraId="272C3E9B" w14:textId="77777777" w:rsidR="00746438" w:rsidRDefault="00746438">
            <w:pPr>
              <w:jc w:val="right"/>
              <w:rPr>
                <w:b/>
                <w:bCs/>
                <w:sz w:val="20"/>
                <w:szCs w:val="20"/>
              </w:rPr>
            </w:pPr>
          </w:p>
        </w:tc>
        <w:tc>
          <w:tcPr>
            <w:tcW w:w="6380" w:type="dxa"/>
            <w:gridSpan w:val="2"/>
            <w:tcBorders>
              <w:top w:val="nil"/>
              <w:left w:val="nil"/>
              <w:bottom w:val="nil"/>
              <w:right w:val="nil"/>
            </w:tcBorders>
            <w:shd w:val="clear" w:color="auto" w:fill="auto"/>
            <w:noWrap/>
            <w:vAlign w:val="bottom"/>
            <w:hideMark/>
          </w:tcPr>
          <w:p w14:paraId="676A9221" w14:textId="77777777" w:rsidR="00746438" w:rsidRDefault="00746438">
            <w:pPr>
              <w:rPr>
                <w:sz w:val="20"/>
                <w:szCs w:val="20"/>
              </w:rPr>
            </w:pPr>
            <w:r>
              <w:rPr>
                <w:sz w:val="20"/>
                <w:szCs w:val="20"/>
              </w:rPr>
              <w:t>550 Odplačilo domačega dolga</w:t>
            </w:r>
          </w:p>
        </w:tc>
        <w:tc>
          <w:tcPr>
            <w:tcW w:w="1340" w:type="dxa"/>
            <w:gridSpan w:val="2"/>
            <w:tcBorders>
              <w:top w:val="nil"/>
              <w:left w:val="nil"/>
              <w:bottom w:val="nil"/>
              <w:right w:val="nil"/>
            </w:tcBorders>
            <w:shd w:val="clear" w:color="auto" w:fill="auto"/>
            <w:noWrap/>
            <w:vAlign w:val="bottom"/>
            <w:hideMark/>
          </w:tcPr>
          <w:p w14:paraId="7E74E350" w14:textId="0F2D7E0A" w:rsidR="00746438" w:rsidRDefault="00F25567">
            <w:pPr>
              <w:jc w:val="right"/>
              <w:rPr>
                <w:sz w:val="20"/>
                <w:szCs w:val="20"/>
              </w:rPr>
            </w:pPr>
            <w:r>
              <w:rPr>
                <w:sz w:val="20"/>
                <w:szCs w:val="20"/>
              </w:rPr>
              <w:t>415.91</w:t>
            </w:r>
            <w:r w:rsidR="00746438">
              <w:rPr>
                <w:sz w:val="20"/>
                <w:szCs w:val="20"/>
              </w:rPr>
              <w:t>0</w:t>
            </w:r>
          </w:p>
        </w:tc>
      </w:tr>
      <w:tr w:rsidR="00746438" w14:paraId="552545D6" w14:textId="77777777" w:rsidTr="00EE162A">
        <w:trPr>
          <w:trHeight w:val="285"/>
        </w:trPr>
        <w:tc>
          <w:tcPr>
            <w:tcW w:w="611" w:type="dxa"/>
            <w:gridSpan w:val="2"/>
            <w:tcBorders>
              <w:top w:val="nil"/>
              <w:left w:val="nil"/>
              <w:bottom w:val="nil"/>
              <w:right w:val="nil"/>
            </w:tcBorders>
            <w:shd w:val="clear" w:color="auto" w:fill="auto"/>
            <w:noWrap/>
            <w:vAlign w:val="bottom"/>
            <w:hideMark/>
          </w:tcPr>
          <w:p w14:paraId="181C68CD" w14:textId="77777777" w:rsidR="00746438" w:rsidRDefault="00746438">
            <w:pPr>
              <w:rPr>
                <w:b/>
                <w:bCs/>
                <w:sz w:val="22"/>
                <w:szCs w:val="22"/>
              </w:rPr>
            </w:pPr>
            <w:r>
              <w:rPr>
                <w:b/>
                <w:bCs/>
                <w:sz w:val="22"/>
                <w:szCs w:val="22"/>
              </w:rPr>
              <w:t>IX.</w:t>
            </w:r>
          </w:p>
        </w:tc>
        <w:tc>
          <w:tcPr>
            <w:tcW w:w="6380" w:type="dxa"/>
            <w:gridSpan w:val="2"/>
            <w:tcBorders>
              <w:top w:val="nil"/>
              <w:left w:val="nil"/>
              <w:bottom w:val="nil"/>
              <w:right w:val="nil"/>
            </w:tcBorders>
            <w:shd w:val="clear" w:color="auto" w:fill="auto"/>
            <w:noWrap/>
            <w:vAlign w:val="bottom"/>
            <w:hideMark/>
          </w:tcPr>
          <w:p w14:paraId="14ED2CFC" w14:textId="77777777" w:rsidR="00746438" w:rsidRDefault="00746438">
            <w:pPr>
              <w:rPr>
                <w:b/>
                <w:bCs/>
                <w:sz w:val="22"/>
                <w:szCs w:val="22"/>
              </w:rPr>
            </w:pPr>
            <w:r>
              <w:rPr>
                <w:b/>
                <w:bCs/>
                <w:sz w:val="22"/>
                <w:szCs w:val="22"/>
              </w:rPr>
              <w:t>SPREMEMBA STANJA SREDSTEV NA RAČUNIH</w:t>
            </w:r>
          </w:p>
        </w:tc>
        <w:tc>
          <w:tcPr>
            <w:tcW w:w="1340" w:type="dxa"/>
            <w:gridSpan w:val="2"/>
            <w:tcBorders>
              <w:top w:val="nil"/>
              <w:left w:val="nil"/>
              <w:bottom w:val="nil"/>
              <w:right w:val="nil"/>
            </w:tcBorders>
            <w:shd w:val="clear" w:color="auto" w:fill="auto"/>
            <w:noWrap/>
            <w:vAlign w:val="bottom"/>
            <w:hideMark/>
          </w:tcPr>
          <w:p w14:paraId="69E36EF9" w14:textId="77777777" w:rsidR="00746438" w:rsidRDefault="00746438">
            <w:pPr>
              <w:rPr>
                <w:b/>
                <w:bCs/>
                <w:sz w:val="22"/>
                <w:szCs w:val="22"/>
              </w:rPr>
            </w:pPr>
          </w:p>
        </w:tc>
      </w:tr>
      <w:tr w:rsidR="00746438" w14:paraId="5BE7BCAF" w14:textId="77777777" w:rsidTr="00EE162A">
        <w:trPr>
          <w:trHeight w:val="285"/>
        </w:trPr>
        <w:tc>
          <w:tcPr>
            <w:tcW w:w="611" w:type="dxa"/>
            <w:gridSpan w:val="2"/>
            <w:tcBorders>
              <w:top w:val="nil"/>
              <w:left w:val="nil"/>
              <w:bottom w:val="nil"/>
              <w:right w:val="nil"/>
            </w:tcBorders>
            <w:shd w:val="clear" w:color="auto" w:fill="auto"/>
            <w:noWrap/>
            <w:vAlign w:val="bottom"/>
            <w:hideMark/>
          </w:tcPr>
          <w:p w14:paraId="11F4F47E" w14:textId="77777777" w:rsidR="00746438" w:rsidRDefault="00746438">
            <w:pPr>
              <w:rPr>
                <w:sz w:val="20"/>
                <w:szCs w:val="20"/>
              </w:rPr>
            </w:pPr>
          </w:p>
        </w:tc>
        <w:tc>
          <w:tcPr>
            <w:tcW w:w="6380" w:type="dxa"/>
            <w:gridSpan w:val="2"/>
            <w:tcBorders>
              <w:top w:val="nil"/>
              <w:left w:val="nil"/>
              <w:bottom w:val="nil"/>
              <w:right w:val="nil"/>
            </w:tcBorders>
            <w:shd w:val="clear" w:color="auto" w:fill="auto"/>
            <w:noWrap/>
            <w:vAlign w:val="bottom"/>
            <w:hideMark/>
          </w:tcPr>
          <w:p w14:paraId="7D543FC4" w14:textId="77777777" w:rsidR="00746438" w:rsidRDefault="00746438">
            <w:pPr>
              <w:rPr>
                <w:rFonts w:ascii="Arial CE" w:hAnsi="Arial CE" w:cs="Arial CE"/>
                <w:b/>
                <w:bCs/>
                <w:sz w:val="20"/>
                <w:szCs w:val="20"/>
              </w:rPr>
            </w:pPr>
            <w:r>
              <w:rPr>
                <w:rFonts w:ascii="Arial CE" w:hAnsi="Arial CE" w:cs="Arial CE"/>
                <w:b/>
                <w:bCs/>
                <w:sz w:val="20"/>
                <w:szCs w:val="20"/>
              </w:rPr>
              <w:t>(I.+IV.+VII.-II.-V.-VIII.)</w:t>
            </w:r>
          </w:p>
        </w:tc>
        <w:tc>
          <w:tcPr>
            <w:tcW w:w="1340" w:type="dxa"/>
            <w:gridSpan w:val="2"/>
            <w:tcBorders>
              <w:top w:val="nil"/>
              <w:left w:val="nil"/>
              <w:bottom w:val="nil"/>
              <w:right w:val="nil"/>
            </w:tcBorders>
            <w:shd w:val="clear" w:color="auto" w:fill="auto"/>
            <w:noWrap/>
            <w:vAlign w:val="bottom"/>
            <w:hideMark/>
          </w:tcPr>
          <w:p w14:paraId="241F32AC" w14:textId="6A435DB2" w:rsidR="00746438" w:rsidRDefault="00746438" w:rsidP="009472EE">
            <w:pPr>
              <w:jc w:val="right"/>
              <w:rPr>
                <w:b/>
                <w:bCs/>
                <w:sz w:val="22"/>
                <w:szCs w:val="22"/>
              </w:rPr>
            </w:pPr>
            <w:r>
              <w:rPr>
                <w:b/>
                <w:bCs/>
                <w:sz w:val="22"/>
                <w:szCs w:val="22"/>
              </w:rPr>
              <w:t>-</w:t>
            </w:r>
            <w:r w:rsidR="009472EE">
              <w:rPr>
                <w:b/>
                <w:bCs/>
                <w:sz w:val="22"/>
                <w:szCs w:val="22"/>
              </w:rPr>
              <w:t>670.194</w:t>
            </w:r>
          </w:p>
        </w:tc>
      </w:tr>
      <w:tr w:rsidR="00746438" w14:paraId="707EC44D" w14:textId="77777777" w:rsidTr="00EE162A">
        <w:trPr>
          <w:trHeight w:val="285"/>
        </w:trPr>
        <w:tc>
          <w:tcPr>
            <w:tcW w:w="611" w:type="dxa"/>
            <w:gridSpan w:val="2"/>
            <w:tcBorders>
              <w:top w:val="nil"/>
              <w:left w:val="nil"/>
              <w:bottom w:val="nil"/>
              <w:right w:val="nil"/>
            </w:tcBorders>
            <w:shd w:val="clear" w:color="auto" w:fill="auto"/>
            <w:noWrap/>
            <w:vAlign w:val="bottom"/>
            <w:hideMark/>
          </w:tcPr>
          <w:p w14:paraId="643E7B5C" w14:textId="77777777" w:rsidR="00746438" w:rsidRDefault="00746438">
            <w:pPr>
              <w:rPr>
                <w:b/>
                <w:bCs/>
                <w:sz w:val="22"/>
                <w:szCs w:val="22"/>
              </w:rPr>
            </w:pPr>
            <w:r>
              <w:rPr>
                <w:b/>
                <w:bCs/>
                <w:sz w:val="22"/>
                <w:szCs w:val="22"/>
              </w:rPr>
              <w:t>X.</w:t>
            </w:r>
          </w:p>
        </w:tc>
        <w:tc>
          <w:tcPr>
            <w:tcW w:w="6380" w:type="dxa"/>
            <w:gridSpan w:val="2"/>
            <w:tcBorders>
              <w:top w:val="nil"/>
              <w:left w:val="nil"/>
              <w:bottom w:val="nil"/>
              <w:right w:val="nil"/>
            </w:tcBorders>
            <w:shd w:val="clear" w:color="auto" w:fill="auto"/>
            <w:noWrap/>
            <w:vAlign w:val="bottom"/>
            <w:hideMark/>
          </w:tcPr>
          <w:p w14:paraId="4C0F66F1" w14:textId="77777777" w:rsidR="00746438" w:rsidRDefault="00746438">
            <w:pPr>
              <w:rPr>
                <w:b/>
                <w:bCs/>
                <w:sz w:val="20"/>
                <w:szCs w:val="20"/>
              </w:rPr>
            </w:pPr>
            <w:r>
              <w:rPr>
                <w:b/>
                <w:bCs/>
                <w:sz w:val="20"/>
                <w:szCs w:val="20"/>
              </w:rPr>
              <w:t>NETO ZADOLŽEVANJE (VII.-VIII.)</w:t>
            </w:r>
          </w:p>
        </w:tc>
        <w:tc>
          <w:tcPr>
            <w:tcW w:w="1340" w:type="dxa"/>
            <w:gridSpan w:val="2"/>
            <w:tcBorders>
              <w:top w:val="nil"/>
              <w:left w:val="nil"/>
              <w:bottom w:val="nil"/>
              <w:right w:val="nil"/>
            </w:tcBorders>
            <w:shd w:val="clear" w:color="auto" w:fill="auto"/>
            <w:noWrap/>
            <w:vAlign w:val="bottom"/>
            <w:hideMark/>
          </w:tcPr>
          <w:p w14:paraId="05ED0252" w14:textId="65EF6262" w:rsidR="00746438" w:rsidRDefault="009472EE">
            <w:pPr>
              <w:jc w:val="right"/>
              <w:rPr>
                <w:b/>
                <w:bCs/>
                <w:sz w:val="22"/>
                <w:szCs w:val="22"/>
              </w:rPr>
            </w:pPr>
            <w:r>
              <w:rPr>
                <w:b/>
                <w:bCs/>
                <w:sz w:val="22"/>
                <w:szCs w:val="22"/>
              </w:rPr>
              <w:t>1.484.090</w:t>
            </w:r>
          </w:p>
        </w:tc>
      </w:tr>
      <w:tr w:rsidR="00746438" w14:paraId="5F56AB6B" w14:textId="77777777" w:rsidTr="00EE162A">
        <w:trPr>
          <w:trHeight w:val="285"/>
        </w:trPr>
        <w:tc>
          <w:tcPr>
            <w:tcW w:w="611" w:type="dxa"/>
            <w:gridSpan w:val="2"/>
            <w:tcBorders>
              <w:top w:val="nil"/>
              <w:left w:val="nil"/>
              <w:bottom w:val="nil"/>
              <w:right w:val="nil"/>
            </w:tcBorders>
            <w:shd w:val="clear" w:color="auto" w:fill="auto"/>
            <w:noWrap/>
            <w:vAlign w:val="bottom"/>
            <w:hideMark/>
          </w:tcPr>
          <w:p w14:paraId="4A3DA6DF" w14:textId="77777777" w:rsidR="00746438" w:rsidRDefault="00746438">
            <w:pPr>
              <w:rPr>
                <w:b/>
                <w:bCs/>
                <w:sz w:val="22"/>
                <w:szCs w:val="22"/>
              </w:rPr>
            </w:pPr>
            <w:r>
              <w:rPr>
                <w:b/>
                <w:bCs/>
                <w:sz w:val="22"/>
                <w:szCs w:val="22"/>
              </w:rPr>
              <w:t>XI.</w:t>
            </w:r>
          </w:p>
        </w:tc>
        <w:tc>
          <w:tcPr>
            <w:tcW w:w="6380" w:type="dxa"/>
            <w:gridSpan w:val="2"/>
            <w:tcBorders>
              <w:top w:val="nil"/>
              <w:left w:val="nil"/>
              <w:bottom w:val="nil"/>
              <w:right w:val="nil"/>
            </w:tcBorders>
            <w:shd w:val="clear" w:color="auto" w:fill="auto"/>
            <w:noWrap/>
            <w:vAlign w:val="bottom"/>
            <w:hideMark/>
          </w:tcPr>
          <w:p w14:paraId="3A379E3E" w14:textId="77777777" w:rsidR="00746438" w:rsidRDefault="00746438">
            <w:pPr>
              <w:rPr>
                <w:b/>
                <w:bCs/>
                <w:sz w:val="20"/>
                <w:szCs w:val="20"/>
              </w:rPr>
            </w:pPr>
            <w:r>
              <w:rPr>
                <w:b/>
                <w:bCs/>
                <w:sz w:val="20"/>
                <w:szCs w:val="20"/>
              </w:rPr>
              <w:t>NETO FINANCIRANJE (VI.+X.-IX.)</w:t>
            </w:r>
          </w:p>
        </w:tc>
        <w:tc>
          <w:tcPr>
            <w:tcW w:w="1340" w:type="dxa"/>
            <w:gridSpan w:val="2"/>
            <w:tcBorders>
              <w:top w:val="nil"/>
              <w:left w:val="nil"/>
              <w:bottom w:val="nil"/>
              <w:right w:val="nil"/>
            </w:tcBorders>
            <w:shd w:val="clear" w:color="auto" w:fill="auto"/>
            <w:noWrap/>
            <w:vAlign w:val="bottom"/>
            <w:hideMark/>
          </w:tcPr>
          <w:p w14:paraId="02BE7337" w14:textId="7120A56A" w:rsidR="00746438" w:rsidRDefault="009472EE">
            <w:pPr>
              <w:jc w:val="right"/>
              <w:rPr>
                <w:b/>
                <w:bCs/>
                <w:sz w:val="22"/>
                <w:szCs w:val="22"/>
              </w:rPr>
            </w:pPr>
            <w:r>
              <w:rPr>
                <w:b/>
                <w:bCs/>
                <w:sz w:val="22"/>
                <w:szCs w:val="22"/>
              </w:rPr>
              <w:t>2.154.284</w:t>
            </w:r>
          </w:p>
        </w:tc>
      </w:tr>
      <w:tr w:rsidR="00EE162A" w14:paraId="58969372" w14:textId="77777777" w:rsidTr="00EE162A">
        <w:trPr>
          <w:gridAfter w:val="1"/>
          <w:wAfter w:w="11" w:type="dxa"/>
          <w:trHeight w:val="285"/>
        </w:trPr>
        <w:tc>
          <w:tcPr>
            <w:tcW w:w="600" w:type="dxa"/>
            <w:tcBorders>
              <w:top w:val="nil"/>
              <w:left w:val="nil"/>
              <w:bottom w:val="nil"/>
              <w:right w:val="nil"/>
            </w:tcBorders>
            <w:shd w:val="clear" w:color="auto" w:fill="auto"/>
            <w:noWrap/>
            <w:vAlign w:val="bottom"/>
            <w:hideMark/>
          </w:tcPr>
          <w:p w14:paraId="1AFB08AF" w14:textId="77777777" w:rsidR="00EE162A" w:rsidRDefault="00EE162A">
            <w:pPr>
              <w:rPr>
                <w:b/>
                <w:bCs/>
                <w:sz w:val="22"/>
                <w:szCs w:val="22"/>
              </w:rPr>
            </w:pPr>
            <w:r>
              <w:rPr>
                <w:b/>
                <w:bCs/>
                <w:sz w:val="22"/>
                <w:szCs w:val="22"/>
              </w:rPr>
              <w:t>XII.</w:t>
            </w:r>
          </w:p>
        </w:tc>
        <w:tc>
          <w:tcPr>
            <w:tcW w:w="6380" w:type="dxa"/>
            <w:gridSpan w:val="2"/>
            <w:tcBorders>
              <w:top w:val="nil"/>
              <w:left w:val="nil"/>
              <w:bottom w:val="nil"/>
              <w:right w:val="nil"/>
            </w:tcBorders>
            <w:shd w:val="clear" w:color="auto" w:fill="auto"/>
            <w:noWrap/>
            <w:vAlign w:val="bottom"/>
            <w:hideMark/>
          </w:tcPr>
          <w:p w14:paraId="2B88DFC4" w14:textId="77777777" w:rsidR="00EE162A" w:rsidRDefault="00EE162A">
            <w:pPr>
              <w:rPr>
                <w:b/>
                <w:bCs/>
                <w:sz w:val="20"/>
                <w:szCs w:val="20"/>
              </w:rPr>
            </w:pPr>
            <w:r>
              <w:rPr>
                <w:b/>
                <w:bCs/>
                <w:sz w:val="20"/>
                <w:szCs w:val="20"/>
              </w:rPr>
              <w:t>STANJE SRED.NA RAČUNIH NA DAN 31.12. PRETEKLEGA LETA</w:t>
            </w:r>
          </w:p>
        </w:tc>
        <w:tc>
          <w:tcPr>
            <w:tcW w:w="1340" w:type="dxa"/>
            <w:gridSpan w:val="2"/>
            <w:tcBorders>
              <w:top w:val="nil"/>
              <w:left w:val="nil"/>
              <w:bottom w:val="nil"/>
              <w:right w:val="nil"/>
            </w:tcBorders>
            <w:shd w:val="clear" w:color="auto" w:fill="auto"/>
            <w:noWrap/>
            <w:vAlign w:val="bottom"/>
            <w:hideMark/>
          </w:tcPr>
          <w:p w14:paraId="3CFD32E7" w14:textId="410D13D5" w:rsidR="00EE162A" w:rsidRDefault="009472EE">
            <w:pPr>
              <w:jc w:val="right"/>
              <w:rPr>
                <w:b/>
                <w:bCs/>
                <w:sz w:val="22"/>
                <w:szCs w:val="22"/>
              </w:rPr>
            </w:pPr>
            <w:r>
              <w:rPr>
                <w:b/>
                <w:bCs/>
                <w:sz w:val="22"/>
                <w:szCs w:val="22"/>
              </w:rPr>
              <w:t>670.194</w:t>
            </w:r>
          </w:p>
        </w:tc>
      </w:tr>
    </w:tbl>
    <w:p w14:paraId="23A359DA" w14:textId="77777777" w:rsidR="00636484" w:rsidRDefault="00636484" w:rsidP="00741AA7">
      <w:pPr>
        <w:jc w:val="both"/>
      </w:pPr>
    </w:p>
    <w:p w14:paraId="4CBAC714" w14:textId="77777777" w:rsidR="00741AA7" w:rsidRPr="00E76178" w:rsidRDefault="00741AA7" w:rsidP="00741AA7">
      <w:pPr>
        <w:jc w:val="both"/>
      </w:pPr>
      <w:r w:rsidRPr="00E76178">
        <w:t>Posebni del proračuna sestavljajo finančni načrti neposrednih uporabnikov, ki so razdeljeni na naslednje programske dele: področja proračunske porabe, glavne programe in podprograme, predpisane s programsko klasifikacijo izdatkov občinskih proračunov. Podprogram je razdeljen na proračunske postavke, te pa na podskupine kontov in konte, določene s predpisanim kontnim načrtom.</w:t>
      </w:r>
    </w:p>
    <w:p w14:paraId="34741DA9" w14:textId="77777777" w:rsidR="00741AA7" w:rsidRPr="00E76178" w:rsidRDefault="00741AA7" w:rsidP="00741AA7">
      <w:pPr>
        <w:jc w:val="both"/>
      </w:pPr>
    </w:p>
    <w:p w14:paraId="65A2BC9A" w14:textId="77777777" w:rsidR="00741AA7" w:rsidRDefault="005F2C4F" w:rsidP="00741AA7">
      <w:pPr>
        <w:jc w:val="both"/>
      </w:pPr>
      <w:r>
        <w:t>P</w:t>
      </w:r>
      <w:r w:rsidR="00741AA7" w:rsidRPr="00E76178">
        <w:t>osebni del proračuna do ravni proračunskih postavk</w:t>
      </w:r>
      <w:r w:rsidR="0025527B">
        <w:t xml:space="preserve"> </w:t>
      </w:r>
      <w:r w:rsidR="00741AA7" w:rsidRPr="00E76178">
        <w:t>-</w:t>
      </w:r>
      <w:r w:rsidR="0025527B">
        <w:t xml:space="preserve"> </w:t>
      </w:r>
      <w:r w:rsidR="00741AA7" w:rsidRPr="00E76178">
        <w:t>podskupin kontov in načrt razvojnih programov sta prilogi k temu odloku in se objavita na spletni strani Občine Šoštanj.</w:t>
      </w:r>
    </w:p>
    <w:p w14:paraId="2F2A427A" w14:textId="77777777" w:rsidR="00273734" w:rsidRPr="00E76178" w:rsidRDefault="0025527B" w:rsidP="00741AA7">
      <w:pPr>
        <w:jc w:val="both"/>
      </w:pPr>
      <w:r>
        <w:t>Načrt razvojnih programov sestavljajo projekti.</w:t>
      </w:r>
    </w:p>
    <w:p w14:paraId="034516B2" w14:textId="77777777" w:rsidR="00F05AA8" w:rsidRDefault="00F05AA8" w:rsidP="00291FBD">
      <w:pPr>
        <w:jc w:val="both"/>
        <w:rPr>
          <w:b/>
          <w:sz w:val="22"/>
          <w:szCs w:val="22"/>
        </w:rPr>
      </w:pPr>
    </w:p>
    <w:p w14:paraId="0C844C03" w14:textId="77777777" w:rsidR="00AF6D5B" w:rsidRDefault="00AF6D5B" w:rsidP="00291FBD">
      <w:pPr>
        <w:jc w:val="both"/>
        <w:rPr>
          <w:b/>
          <w:sz w:val="22"/>
          <w:szCs w:val="22"/>
        </w:rPr>
      </w:pPr>
    </w:p>
    <w:p w14:paraId="4A64BC0D" w14:textId="77777777" w:rsidR="00AF6D5B" w:rsidRDefault="00AF6D5B" w:rsidP="00291FBD">
      <w:pPr>
        <w:jc w:val="both"/>
        <w:rPr>
          <w:b/>
          <w:sz w:val="22"/>
          <w:szCs w:val="22"/>
        </w:rPr>
      </w:pPr>
    </w:p>
    <w:p w14:paraId="158F0898" w14:textId="77777777" w:rsidR="00291FBD" w:rsidRPr="00F05AA8" w:rsidRDefault="00291FBD" w:rsidP="00291FBD">
      <w:pPr>
        <w:jc w:val="both"/>
        <w:rPr>
          <w:b/>
          <w:sz w:val="22"/>
          <w:szCs w:val="22"/>
        </w:rPr>
      </w:pPr>
      <w:r w:rsidRPr="00F05AA8">
        <w:rPr>
          <w:b/>
          <w:sz w:val="22"/>
          <w:szCs w:val="22"/>
        </w:rPr>
        <w:t>3. POSTOPKI IZVRŠEVANJA PRORAČUNA</w:t>
      </w:r>
    </w:p>
    <w:p w14:paraId="2B497D85" w14:textId="77777777" w:rsidR="008A1D03" w:rsidRPr="00F05AA8" w:rsidRDefault="008A1D03" w:rsidP="00741AA7">
      <w:pPr>
        <w:jc w:val="center"/>
        <w:rPr>
          <w:b/>
        </w:rPr>
      </w:pPr>
    </w:p>
    <w:p w14:paraId="3D612A0A" w14:textId="77777777" w:rsidR="002502DB" w:rsidRPr="00F05AA8" w:rsidRDefault="00741AA7" w:rsidP="00F05AA8">
      <w:pPr>
        <w:jc w:val="center"/>
        <w:rPr>
          <w:b/>
        </w:rPr>
      </w:pPr>
      <w:r w:rsidRPr="00F05AA8">
        <w:rPr>
          <w:b/>
        </w:rPr>
        <w:t>3.</w:t>
      </w:r>
      <w:r w:rsidR="002711E9" w:rsidRPr="00F05AA8">
        <w:rPr>
          <w:b/>
        </w:rPr>
        <w:t xml:space="preserve"> </w:t>
      </w:r>
      <w:r w:rsidRPr="00F05AA8">
        <w:rPr>
          <w:b/>
        </w:rPr>
        <w:t>člen</w:t>
      </w:r>
    </w:p>
    <w:p w14:paraId="5396897D" w14:textId="77777777" w:rsidR="00BA3457" w:rsidRDefault="00BA3457" w:rsidP="002502DB">
      <w:pPr>
        <w:jc w:val="both"/>
      </w:pPr>
      <w:r>
        <w:t>V tekočem letu se izvršuje proračun tekočega leta.</w:t>
      </w:r>
    </w:p>
    <w:p w14:paraId="512561AB" w14:textId="77777777" w:rsidR="00BA3457" w:rsidRDefault="00BA3457" w:rsidP="002502DB">
      <w:pPr>
        <w:jc w:val="both"/>
      </w:pPr>
      <w:r>
        <w:t>Proračun se izvršuje skladno z določbami zakona, ki ureja javne finance in podzakonskimi predpisi, izdanimi na njegovi podlagi, in tega odloka.</w:t>
      </w:r>
    </w:p>
    <w:p w14:paraId="2220AE1F" w14:textId="77777777" w:rsidR="002502DB" w:rsidRDefault="002502DB" w:rsidP="002502DB">
      <w:pPr>
        <w:jc w:val="both"/>
      </w:pPr>
      <w:r>
        <w:t xml:space="preserve">Proračun se izvršuje na ravni proračunske postavke </w:t>
      </w:r>
      <w:r w:rsidR="00BA3457">
        <w:t>–</w:t>
      </w:r>
      <w:r>
        <w:t xml:space="preserve"> konta</w:t>
      </w:r>
      <w:r w:rsidR="00BA3457">
        <w:t>.</w:t>
      </w:r>
    </w:p>
    <w:p w14:paraId="5AC49C4C" w14:textId="77777777" w:rsidR="00BA3457" w:rsidRDefault="00BA3457" w:rsidP="002502DB">
      <w:pPr>
        <w:jc w:val="both"/>
      </w:pPr>
      <w:r>
        <w:t>Veljavni načrt razvojnih programov tekočega leta mora biti za tekoče leto usklajen z veljavnim proračunom.</w:t>
      </w:r>
    </w:p>
    <w:p w14:paraId="43AD02ED" w14:textId="77777777" w:rsidR="002502DB" w:rsidRPr="00E76178" w:rsidRDefault="002502DB" w:rsidP="00741AA7">
      <w:pPr>
        <w:jc w:val="center"/>
      </w:pPr>
    </w:p>
    <w:p w14:paraId="5F56067A" w14:textId="77777777" w:rsidR="00741AA7" w:rsidRPr="00F05AA8" w:rsidRDefault="002502DB" w:rsidP="00F05AA8">
      <w:pPr>
        <w:jc w:val="center"/>
        <w:rPr>
          <w:b/>
        </w:rPr>
      </w:pPr>
      <w:r w:rsidRPr="00F05AA8">
        <w:rPr>
          <w:b/>
        </w:rPr>
        <w:t>4. člen</w:t>
      </w:r>
    </w:p>
    <w:p w14:paraId="024361FF" w14:textId="77777777" w:rsidR="00E3201A" w:rsidRPr="00A8265A" w:rsidRDefault="00E3201A" w:rsidP="00E3201A">
      <w:pPr>
        <w:jc w:val="both"/>
      </w:pPr>
      <w:r w:rsidRPr="00A8265A">
        <w:t>Namenski prihodki proračuna so poleg prihodkov, določenih v prvem stavku prvega odstavka 43.člena ZJF in prvem odstavku 80. člena ZJF, tudi:</w:t>
      </w:r>
    </w:p>
    <w:p w14:paraId="6E1327C9" w14:textId="77777777" w:rsidR="00E3201A" w:rsidRPr="00A8265A" w:rsidRDefault="00E3201A" w:rsidP="00E3201A">
      <w:pPr>
        <w:pStyle w:val="Odstavekseznama"/>
        <w:numPr>
          <w:ilvl w:val="0"/>
          <w:numId w:val="15"/>
        </w:numPr>
        <w:jc w:val="both"/>
      </w:pPr>
      <w:r w:rsidRPr="00A8265A">
        <w:t xml:space="preserve">turistična taksa, ki se porabi skladno z Zakonom o spodbujanju razvoja turizma in letnim proračunom občine; </w:t>
      </w:r>
    </w:p>
    <w:p w14:paraId="6FEA340B" w14:textId="77777777" w:rsidR="00E3201A" w:rsidRPr="00A8265A" w:rsidRDefault="00E3201A" w:rsidP="00E3201A">
      <w:pPr>
        <w:pStyle w:val="Odstavekseznama"/>
        <w:numPr>
          <w:ilvl w:val="0"/>
          <w:numId w:val="15"/>
        </w:numPr>
        <w:jc w:val="both"/>
      </w:pPr>
      <w:r w:rsidRPr="00A8265A">
        <w:t>prihodki požarne takse po Zakonu o varstvu pred požarom, ki se uporabljajo za namene, določen v navedenem zakonu;</w:t>
      </w:r>
    </w:p>
    <w:p w14:paraId="06DB7BAB" w14:textId="77777777" w:rsidR="00E3201A" w:rsidRPr="00A8265A" w:rsidRDefault="00E3201A" w:rsidP="00E3201A">
      <w:pPr>
        <w:pStyle w:val="Odstavekseznama"/>
        <w:numPr>
          <w:ilvl w:val="0"/>
          <w:numId w:val="15"/>
        </w:numPr>
        <w:jc w:val="both"/>
      </w:pPr>
      <w:r w:rsidRPr="00A8265A">
        <w:t>pristojbina za vzdrževanje gozdnih cest po Zakonu o gozdovih, ki se porabi za vzdrževanje gozdnih cest;</w:t>
      </w:r>
    </w:p>
    <w:p w14:paraId="2D23F15D" w14:textId="77777777" w:rsidR="00E3201A" w:rsidRPr="00A8265A" w:rsidRDefault="00E3201A" w:rsidP="00E3201A">
      <w:pPr>
        <w:pStyle w:val="Odstavekseznama"/>
        <w:numPr>
          <w:ilvl w:val="0"/>
          <w:numId w:val="15"/>
        </w:numPr>
        <w:jc w:val="both"/>
      </w:pPr>
      <w:r w:rsidRPr="00A8265A">
        <w:t>letno nadomestilo za upravljanje državnih gozdov po Zakonu o gospodarjenju z gozdovi v lasti RS, ki se porabi za gradnjo in vzdrževanje lokalne cestne infrastrukture</w:t>
      </w:r>
      <w:r w:rsidR="00AF6D5B">
        <w:t>;</w:t>
      </w:r>
    </w:p>
    <w:p w14:paraId="56EF56FF" w14:textId="77777777" w:rsidR="00E3201A" w:rsidRPr="00A8265A" w:rsidRDefault="00E3201A" w:rsidP="00E3201A">
      <w:pPr>
        <w:pStyle w:val="Odstavekseznama"/>
        <w:numPr>
          <w:ilvl w:val="0"/>
          <w:numId w:val="15"/>
        </w:numPr>
        <w:jc w:val="both"/>
      </w:pPr>
      <w:r w:rsidRPr="00A8265A">
        <w:t>komunalni prispevek, ki se po Zakonu o prostorskem načrtovanju porabi za gradnjo infrastrukture skladno z NRP občinskega proračuna;</w:t>
      </w:r>
    </w:p>
    <w:p w14:paraId="36E96927" w14:textId="77777777" w:rsidR="00E3201A" w:rsidRPr="00A8265A" w:rsidRDefault="00E3201A" w:rsidP="00E3201A">
      <w:pPr>
        <w:pStyle w:val="Odstavekseznama"/>
        <w:numPr>
          <w:ilvl w:val="0"/>
          <w:numId w:val="15"/>
        </w:numPr>
        <w:jc w:val="both"/>
      </w:pPr>
      <w:r w:rsidRPr="00A8265A">
        <w:t>nadomestilo za stroške lokacijske preveritve in taksa za obravnavo pobud za spremembo namenske rabe prostora v občinskem prostorskem načrtu po Zakonu o urejanju prostora, ki se porabi za financiranje nalog urejanja prostora;</w:t>
      </w:r>
    </w:p>
    <w:p w14:paraId="3373C1F4" w14:textId="77777777" w:rsidR="00E3201A" w:rsidRPr="00A8265A" w:rsidRDefault="00E3201A" w:rsidP="00E3201A">
      <w:pPr>
        <w:pStyle w:val="Odstavekseznama"/>
        <w:numPr>
          <w:ilvl w:val="0"/>
          <w:numId w:val="15"/>
        </w:numPr>
        <w:jc w:val="both"/>
      </w:pPr>
      <w:r w:rsidRPr="00A8265A">
        <w:t xml:space="preserve">koncesijska dajatev za trajnostno gospodarjenje z divjadjo v loviščih po Zakonu o divjadi in lovstvu, ki se porabi za izvajanje ukrepov varstva in vlaganj v naravne vire; </w:t>
      </w:r>
    </w:p>
    <w:p w14:paraId="7AE47DBC" w14:textId="77777777" w:rsidR="00E3201A" w:rsidRPr="00A8265A" w:rsidRDefault="00E3201A" w:rsidP="00E3201A">
      <w:pPr>
        <w:pStyle w:val="Odstavekseznama"/>
        <w:numPr>
          <w:ilvl w:val="0"/>
          <w:numId w:val="15"/>
        </w:numPr>
        <w:jc w:val="both"/>
      </w:pPr>
      <w:r w:rsidRPr="00A8265A">
        <w:t xml:space="preserve">sofinanciranje skupne občinske uprave po Zakonu o financiranju občin, ki se porabi za plače in druge izdatke ter prispevke delodajalca zaposlenim v skupni občinski upravi; </w:t>
      </w:r>
    </w:p>
    <w:p w14:paraId="2AB89C2B" w14:textId="08883F02" w:rsidR="00E3201A" w:rsidRPr="00A8265A" w:rsidRDefault="00E3201A" w:rsidP="00E3201A">
      <w:pPr>
        <w:pStyle w:val="Odstavekseznama"/>
        <w:numPr>
          <w:ilvl w:val="0"/>
          <w:numId w:val="15"/>
        </w:numPr>
        <w:jc w:val="both"/>
      </w:pPr>
      <w:r w:rsidRPr="00A8265A">
        <w:t>sredstva, pridobljena z zadolžitvijo v letu 202</w:t>
      </w:r>
      <w:r w:rsidR="009472EE">
        <w:t>5</w:t>
      </w:r>
      <w:r w:rsidRPr="00A8265A">
        <w:t>, ki se porabijo za izvajanje investicij, vključenih v sprejeti proračun tega leta</w:t>
      </w:r>
      <w:r w:rsidR="00AF6D5B">
        <w:t>;</w:t>
      </w:r>
    </w:p>
    <w:p w14:paraId="074BF5AA" w14:textId="77777777" w:rsidR="00E3201A" w:rsidRPr="00A8265A" w:rsidRDefault="00E3201A" w:rsidP="00E3201A">
      <w:pPr>
        <w:pStyle w:val="Odstavekseznama"/>
        <w:numPr>
          <w:ilvl w:val="0"/>
          <w:numId w:val="15"/>
        </w:numPr>
        <w:jc w:val="both"/>
      </w:pPr>
      <w:r w:rsidRPr="00A8265A">
        <w:t>prejeta sredstva iz državnega proračuna ter prejeta sredstva iz državnega proračuna iz sredstev proračuna Evropske unije za sofinanciranje investicij in drugih projektov, ki se porabijo za namene, določene v pogodbah z RS in EU;</w:t>
      </w:r>
    </w:p>
    <w:p w14:paraId="081C3EA6" w14:textId="77777777" w:rsidR="00E3201A" w:rsidRDefault="00E3201A" w:rsidP="00E3201A">
      <w:pPr>
        <w:pStyle w:val="Odstavekseznama"/>
        <w:numPr>
          <w:ilvl w:val="0"/>
          <w:numId w:val="15"/>
        </w:numPr>
        <w:jc w:val="both"/>
      </w:pPr>
      <w:r w:rsidRPr="00A8265A">
        <w:t xml:space="preserve">prejeta sredstva iz občinskih proračunov, ki se porabijo za plačilo dejavnosti vrtca kot razliko med ekonomsko ceno programa in plačilom staršev; </w:t>
      </w:r>
    </w:p>
    <w:p w14:paraId="3E9C0926" w14:textId="77777777" w:rsidR="00E3201A" w:rsidRPr="00A8265A" w:rsidRDefault="00E3201A" w:rsidP="00E3201A">
      <w:pPr>
        <w:pStyle w:val="Odstavekseznama"/>
        <w:numPr>
          <w:ilvl w:val="0"/>
          <w:numId w:val="15"/>
        </w:numPr>
        <w:jc w:val="both"/>
      </w:pPr>
      <w:r>
        <w:t xml:space="preserve">prejeta sredstva iz javnih skladov, ki se porabijo za namene, določene v pogodbah z </w:t>
      </w:r>
      <w:proofErr w:type="spellStart"/>
      <w:r>
        <w:t>Eko</w:t>
      </w:r>
      <w:proofErr w:type="spellEnd"/>
      <w:r>
        <w:t xml:space="preserve"> skladom; </w:t>
      </w:r>
    </w:p>
    <w:p w14:paraId="0317BC0B" w14:textId="77777777" w:rsidR="00E3201A" w:rsidRDefault="00E3201A" w:rsidP="00E3201A">
      <w:pPr>
        <w:pStyle w:val="Odstavekseznama"/>
        <w:numPr>
          <w:ilvl w:val="0"/>
          <w:numId w:val="15"/>
        </w:numPr>
        <w:jc w:val="both"/>
      </w:pPr>
      <w:r w:rsidRPr="00A8265A">
        <w:t>lastni prihodki krajevnih skupnosti, ki se porabijo za namene, določene v njihovih finančnih načrtih, glede na področje nastanka.</w:t>
      </w:r>
    </w:p>
    <w:p w14:paraId="40959F2E" w14:textId="77777777" w:rsidR="00AA45C5" w:rsidRDefault="00AA45C5" w:rsidP="005805AF">
      <w:pPr>
        <w:jc w:val="both"/>
      </w:pPr>
    </w:p>
    <w:p w14:paraId="47086F7F" w14:textId="77777777" w:rsidR="005805AF" w:rsidRDefault="005805AF" w:rsidP="005805AF">
      <w:pPr>
        <w:jc w:val="both"/>
      </w:pPr>
      <w:r>
        <w:t>Če se po sprejemu proračuna vplača namenski prejemek, ki zahteva sorazmerni namenski izdatek, ki v proračunu ni izkazan ali ni izkazan v zadostni višini, se v višini dejanskih prejemkov povečata obseg izdatkov finančnega načrta neposrednega uporabnika in proračun.</w:t>
      </w:r>
    </w:p>
    <w:p w14:paraId="29AA2611" w14:textId="77777777" w:rsidR="001C3C8D" w:rsidRDefault="005805AF" w:rsidP="0018365B">
      <w:pPr>
        <w:jc w:val="both"/>
      </w:pPr>
      <w:r>
        <w:lastRenderedPageBreak/>
        <w:t>Če so namenski prejemki vplačani v proračun v nižjem obsegu kot je izkazan v proračunu, lahko uporabnik prevzema in plačuje obveznost samo v višini dejansko vplačanih oziroma razpoložljivih sredstev.</w:t>
      </w:r>
    </w:p>
    <w:p w14:paraId="7F832639" w14:textId="77777777" w:rsidR="00C5039B" w:rsidRPr="00E76178" w:rsidRDefault="00A64546" w:rsidP="00C5039B">
      <w:pPr>
        <w:jc w:val="both"/>
      </w:pPr>
      <w:r>
        <w:t xml:space="preserve"> </w:t>
      </w:r>
    </w:p>
    <w:p w14:paraId="655E66EB" w14:textId="77777777" w:rsidR="00981F24" w:rsidRPr="00F05AA8" w:rsidRDefault="00981F24" w:rsidP="00F05AA8">
      <w:pPr>
        <w:jc w:val="center"/>
        <w:rPr>
          <w:b/>
        </w:rPr>
      </w:pPr>
      <w:r w:rsidRPr="00F05AA8">
        <w:rPr>
          <w:b/>
        </w:rPr>
        <w:t>5</w:t>
      </w:r>
      <w:r w:rsidR="00741AA7" w:rsidRPr="00F05AA8">
        <w:rPr>
          <w:b/>
        </w:rPr>
        <w:t>.</w:t>
      </w:r>
      <w:r w:rsidR="002711E9" w:rsidRPr="00F05AA8">
        <w:rPr>
          <w:b/>
        </w:rPr>
        <w:t xml:space="preserve"> </w:t>
      </w:r>
      <w:r w:rsidR="00741AA7" w:rsidRPr="00F05AA8">
        <w:rPr>
          <w:b/>
        </w:rPr>
        <w:t>člen</w:t>
      </w:r>
    </w:p>
    <w:p w14:paraId="719F3C48" w14:textId="77777777" w:rsidR="004D0947" w:rsidRPr="00E76178" w:rsidRDefault="004D0947" w:rsidP="004D0947">
      <w:pPr>
        <w:jc w:val="both"/>
      </w:pPr>
      <w:r>
        <w:t>Osnova za prerazporejanje pravic porabe je zadnji sprejeti proračun, spremembe proračuna ali rebalans proračuna.</w:t>
      </w:r>
    </w:p>
    <w:p w14:paraId="04D87A1D" w14:textId="77777777" w:rsidR="004D0947" w:rsidRPr="00EE0317" w:rsidRDefault="004D0947" w:rsidP="004D0947">
      <w:pPr>
        <w:jc w:val="both"/>
      </w:pPr>
      <w:r w:rsidRPr="00EE0317">
        <w:t>Župan lahko odloča o prerazporeditvi pravic porabe med proračunskimi postavkami v posebnem delu proračuna</w:t>
      </w:r>
      <w:r>
        <w:t>, pri tem pa mora proračun ostati uravnotežen</w:t>
      </w:r>
      <w:r w:rsidRPr="00EE0317">
        <w:t>. Prerazporejanje ne sme vplivati na izvajanje nalog, za kat</w:t>
      </w:r>
      <w:r>
        <w:t>ere so bila načrtovana sredstva.</w:t>
      </w:r>
      <w:r w:rsidRPr="00EE0317">
        <w:t xml:space="preserve"> Skupen znesek vseh prerazporeditev v okviru področja proračunske porabe ne sme preseči </w:t>
      </w:r>
      <w:r>
        <w:t xml:space="preserve">25 </w:t>
      </w:r>
      <w:r w:rsidRPr="00EE0317">
        <w:t xml:space="preserve">odstotkov vrednosti področja proračunske porabe. Prerazporejanj med proračunskimi uporabniki ni mogoče. </w:t>
      </w:r>
    </w:p>
    <w:p w14:paraId="7FD169FF" w14:textId="77777777" w:rsidR="004D0947" w:rsidRPr="00E76178" w:rsidRDefault="004D0947" w:rsidP="004D0947">
      <w:pPr>
        <w:jc w:val="both"/>
      </w:pPr>
      <w:r w:rsidRPr="00EE0317">
        <w:t xml:space="preserve">Prerazporeditve med </w:t>
      </w:r>
      <w:proofErr w:type="spellStart"/>
      <w:r w:rsidRPr="00EE0317">
        <w:t>podkonti</w:t>
      </w:r>
      <w:proofErr w:type="spellEnd"/>
      <w:r w:rsidRPr="00EE0317">
        <w:t xml:space="preserve"> znotraj posamezne proračunske postavke opravi finančna služba.</w:t>
      </w:r>
    </w:p>
    <w:p w14:paraId="1FDC5612" w14:textId="77777777" w:rsidR="004D0947" w:rsidRDefault="004D0947" w:rsidP="004D0947">
      <w:pPr>
        <w:jc w:val="both"/>
      </w:pPr>
      <w:r w:rsidRPr="00E76178">
        <w:t xml:space="preserve">Župan </w:t>
      </w:r>
      <w:r>
        <w:t xml:space="preserve">o veljavnem proračunu in o njegovi realizaciji poroča občinskemu svetu </w:t>
      </w:r>
      <w:r w:rsidRPr="00E76178">
        <w:t xml:space="preserve">s poročilom o izvrševanju proračuna ob polletju in </w:t>
      </w:r>
      <w:r>
        <w:t xml:space="preserve">konec leta z zaključnim računom proračuna.  </w:t>
      </w:r>
    </w:p>
    <w:p w14:paraId="62DEC2E2" w14:textId="77777777" w:rsidR="008A1D03" w:rsidRPr="00E76178" w:rsidRDefault="008A1D03">
      <w:pPr>
        <w:jc w:val="both"/>
      </w:pPr>
    </w:p>
    <w:p w14:paraId="16E749D8" w14:textId="77777777" w:rsidR="00741AA7" w:rsidRPr="00F05AA8" w:rsidRDefault="00981F24" w:rsidP="00A95EE3">
      <w:pPr>
        <w:jc w:val="center"/>
        <w:rPr>
          <w:b/>
        </w:rPr>
      </w:pPr>
      <w:r w:rsidRPr="00F05AA8">
        <w:rPr>
          <w:b/>
        </w:rPr>
        <w:t>6</w:t>
      </w:r>
      <w:r w:rsidR="00741AA7" w:rsidRPr="00F05AA8">
        <w:rPr>
          <w:b/>
        </w:rPr>
        <w:t>.</w:t>
      </w:r>
      <w:r w:rsidR="002711E9" w:rsidRPr="00F05AA8">
        <w:rPr>
          <w:b/>
        </w:rPr>
        <w:t xml:space="preserve"> </w:t>
      </w:r>
      <w:r w:rsidR="00741AA7" w:rsidRPr="00F05AA8">
        <w:rPr>
          <w:b/>
        </w:rPr>
        <w:t>člen</w:t>
      </w:r>
    </w:p>
    <w:p w14:paraId="4208B2F8" w14:textId="45FBC175" w:rsidR="00B74737" w:rsidRDefault="004D0947" w:rsidP="00741AA7">
      <w:pPr>
        <w:jc w:val="both"/>
      </w:pPr>
      <w:r>
        <w:t xml:space="preserve">Župan </w:t>
      </w:r>
      <w:r w:rsidR="00B74737">
        <w:t>lahko</w:t>
      </w:r>
      <w:r>
        <w:t xml:space="preserve"> med izvrševanjem proračuna odpre novo proračunsko postavko, če so izpolnjeni pogoji iz 32. člena Pravilnika o postopkih za izvrševanje proračuna Republike Slovenije (Uradni list RS, št. 50/07, 61/08, 99/09 – ZIPRS1011, 3/13, 81/16, </w:t>
      </w:r>
      <w:r w:rsidR="00263A0E">
        <w:t>11/22, 96/22, 105/22 – ZZNŠPP,</w:t>
      </w:r>
      <w:r>
        <w:t xml:space="preserve"> 149/22</w:t>
      </w:r>
      <w:r w:rsidR="00263A0E">
        <w:t>, 106/23, 83/24 in 88/24</w:t>
      </w:r>
      <w:r>
        <w:t xml:space="preserve">), ki se na podlagi </w:t>
      </w:r>
      <w:r w:rsidR="00B74737">
        <w:t>drugega</w:t>
      </w:r>
      <w:r>
        <w:t xml:space="preserve"> odstavka 1. člena navedenega pravilnika smiselno uporablja tudi za občine. </w:t>
      </w:r>
    </w:p>
    <w:p w14:paraId="62C6A337" w14:textId="77777777" w:rsidR="00B74737" w:rsidRDefault="00B74737" w:rsidP="00741AA7">
      <w:pPr>
        <w:jc w:val="both"/>
      </w:pPr>
    </w:p>
    <w:p w14:paraId="79706DFD" w14:textId="77777777" w:rsidR="00B74737" w:rsidRDefault="00B74737" w:rsidP="00741AA7">
      <w:pPr>
        <w:jc w:val="both"/>
      </w:pPr>
      <w:r>
        <w:t>Sredstva za plačilo obveznosti, ki niso bile načrtovane v zadostnem obsegu, se lahko začasno zagotovijo tudi iz sredstev splošne proračunske rezervacije (42. člen ZJF), če obseg sredstev na tej proračunski postavki to dopušča. Pri pripravi rebalansa proračuna se dodeljena sredstva prerazporedijo v načrt neposrednega proračunskega uporabnika.</w:t>
      </w:r>
    </w:p>
    <w:p w14:paraId="69386A29" w14:textId="77777777" w:rsidR="00B74737" w:rsidRDefault="00B74737" w:rsidP="00741AA7">
      <w:pPr>
        <w:jc w:val="both"/>
      </w:pPr>
    </w:p>
    <w:p w14:paraId="344D8C6C" w14:textId="77777777" w:rsidR="00B74737" w:rsidRDefault="00B74737" w:rsidP="00741AA7">
      <w:pPr>
        <w:jc w:val="both"/>
      </w:pPr>
      <w:r>
        <w:t xml:space="preserve">V okviru že odprte proračunske postavke se lahko odpre nov </w:t>
      </w:r>
      <w:proofErr w:type="spellStart"/>
      <w:r>
        <w:t>podkonto</w:t>
      </w:r>
      <w:proofErr w:type="spellEnd"/>
      <w:r>
        <w:t xml:space="preserve">. Pravice porabe na novem </w:t>
      </w:r>
      <w:proofErr w:type="spellStart"/>
      <w:r>
        <w:t>podkontu</w:t>
      </w:r>
      <w:proofErr w:type="spellEnd"/>
      <w:r>
        <w:t xml:space="preserve"> se zagotovijo z razporeditvijo v okviru proračunske postavke ali s prerazporeditvijo iz druge proračunske postavke.</w:t>
      </w:r>
    </w:p>
    <w:p w14:paraId="1E10E9CC" w14:textId="77777777" w:rsidR="00B74737" w:rsidRDefault="00B74737" w:rsidP="00741AA7">
      <w:pPr>
        <w:jc w:val="both"/>
      </w:pPr>
    </w:p>
    <w:p w14:paraId="09E5F36E" w14:textId="77777777" w:rsidR="00B74737" w:rsidRPr="00B74737" w:rsidRDefault="00B74737" w:rsidP="00B74737">
      <w:pPr>
        <w:jc w:val="center"/>
        <w:rPr>
          <w:b/>
        </w:rPr>
      </w:pPr>
      <w:r w:rsidRPr="00B74737">
        <w:rPr>
          <w:b/>
        </w:rPr>
        <w:t>7. č</w:t>
      </w:r>
      <w:r w:rsidR="00F60856">
        <w:rPr>
          <w:b/>
        </w:rPr>
        <w:t>l</w:t>
      </w:r>
      <w:r w:rsidRPr="00B74737">
        <w:rPr>
          <w:b/>
        </w:rPr>
        <w:t>en</w:t>
      </w:r>
    </w:p>
    <w:p w14:paraId="55B87EE7" w14:textId="77777777" w:rsidR="00B74737" w:rsidRDefault="00B74737" w:rsidP="00741AA7">
      <w:pPr>
        <w:jc w:val="both"/>
      </w:pPr>
    </w:p>
    <w:p w14:paraId="21E949BF" w14:textId="77777777" w:rsidR="00741AA7" w:rsidRDefault="00741AA7" w:rsidP="00741AA7">
      <w:pPr>
        <w:jc w:val="both"/>
      </w:pPr>
      <w:r w:rsidRPr="00E76178">
        <w:t xml:space="preserve">Neposredni uporabnik lahko v tekočem letu </w:t>
      </w:r>
      <w:r w:rsidR="00D57A11">
        <w:t>za projekte, ki so vključeni v veljavni načrt razvojnih programov, odda</w:t>
      </w:r>
      <w:r w:rsidR="00981F24">
        <w:t xml:space="preserve"> javno naročil</w:t>
      </w:r>
      <w:r w:rsidR="00D57A11">
        <w:t xml:space="preserve">o za celotno vrednost projekta, </w:t>
      </w:r>
      <w:r w:rsidR="00981F24">
        <w:t xml:space="preserve">če so zanj načrtovane pravice porabe na proračunskih postavkah v sprejetem proračunu.  </w:t>
      </w:r>
    </w:p>
    <w:p w14:paraId="0DBEF876" w14:textId="77777777" w:rsidR="00981F24" w:rsidRPr="00E76178" w:rsidRDefault="00981F24" w:rsidP="00741AA7">
      <w:pPr>
        <w:jc w:val="both"/>
      </w:pPr>
    </w:p>
    <w:p w14:paraId="724E72B3" w14:textId="77777777" w:rsidR="00741AA7" w:rsidRPr="00E76178" w:rsidRDefault="00741AA7" w:rsidP="00741AA7">
      <w:pPr>
        <w:jc w:val="both"/>
      </w:pPr>
      <w:r w:rsidRPr="00E76178">
        <w:t>Skupni obseg prevzetih obveznosti neposrednega uporabnika, ki bodo zapadle v plačilo v prihodnjih letih za investicijske odhodke in investicijske transfere, ne sme presegati 70 % pravic porabe v sprejetem finančnem načrtu neposrednega uporabnika, od tega :</w:t>
      </w:r>
    </w:p>
    <w:p w14:paraId="469320D5" w14:textId="4849F3F5" w:rsidR="00741AA7" w:rsidRPr="00E76178" w:rsidRDefault="00741AA7" w:rsidP="00741AA7">
      <w:pPr>
        <w:numPr>
          <w:ilvl w:val="0"/>
          <w:numId w:val="4"/>
        </w:numPr>
        <w:jc w:val="both"/>
      </w:pPr>
      <w:r w:rsidRPr="00E76178">
        <w:t>v letu 20</w:t>
      </w:r>
      <w:r w:rsidR="00AA45C5">
        <w:t>2</w:t>
      </w:r>
      <w:r w:rsidR="00263A0E">
        <w:t>6</w:t>
      </w:r>
      <w:r w:rsidRPr="00E76178">
        <w:t xml:space="preserve"> 40% </w:t>
      </w:r>
      <w:r w:rsidR="00B74737">
        <w:t xml:space="preserve">navedenih </w:t>
      </w:r>
      <w:r w:rsidRPr="00E76178">
        <w:t xml:space="preserve">pravic porabe in </w:t>
      </w:r>
    </w:p>
    <w:p w14:paraId="155F631F" w14:textId="77777777" w:rsidR="00741AA7" w:rsidRPr="00E76178" w:rsidRDefault="00741AA7" w:rsidP="00741AA7">
      <w:pPr>
        <w:numPr>
          <w:ilvl w:val="0"/>
          <w:numId w:val="4"/>
        </w:numPr>
        <w:jc w:val="both"/>
      </w:pPr>
      <w:r w:rsidRPr="00E76178">
        <w:t>v ostalih letih 30% navedenih pravic porabe.</w:t>
      </w:r>
    </w:p>
    <w:p w14:paraId="076A6AA4" w14:textId="77777777" w:rsidR="00741AA7" w:rsidRPr="00E76178" w:rsidRDefault="00741AA7" w:rsidP="00741AA7">
      <w:pPr>
        <w:jc w:val="both"/>
      </w:pPr>
    </w:p>
    <w:p w14:paraId="1889C8E8" w14:textId="77777777" w:rsidR="00741AA7" w:rsidRPr="00E76178" w:rsidRDefault="00741AA7" w:rsidP="00741AA7">
      <w:pPr>
        <w:jc w:val="both"/>
      </w:pPr>
      <w:r w:rsidRPr="00E76178">
        <w:t xml:space="preserve">Omejitve iz </w:t>
      </w:r>
      <w:r w:rsidR="00D57A11">
        <w:t xml:space="preserve">prvega in drugega </w:t>
      </w:r>
      <w:r w:rsidRPr="00E76178">
        <w:t>odstavka tega člena ne veljajo za prevzemanje obveznosti z najemnimi pogodbami</w:t>
      </w:r>
      <w:r w:rsidR="00D57A11">
        <w:t xml:space="preserve">, razen če na podlagi teh pogodb lastninska pravica preide oziroma lahko preide iz najemodajalca na najemnika, </w:t>
      </w:r>
      <w:r w:rsidRPr="00E76178">
        <w:t xml:space="preserve">in prevzemanje obveznosti za </w:t>
      </w:r>
      <w:r w:rsidR="00D57A11">
        <w:t xml:space="preserve">pogodbe za </w:t>
      </w:r>
      <w:r w:rsidRPr="00E76178">
        <w:t>dobavo elektrike, telefona, vode, komunalnih storitev in drugih storitev, potrebnih za operativno delovanje neposrednih uporabnikov</w:t>
      </w:r>
      <w:r w:rsidR="00D57A11">
        <w:t xml:space="preserve"> ter prevzemanje obveznosti za pogodbe, ki se financirajo </w:t>
      </w:r>
      <w:r w:rsidR="00D57A11">
        <w:lastRenderedPageBreak/>
        <w:t xml:space="preserve">iz </w:t>
      </w:r>
      <w:r w:rsidR="00C734F2">
        <w:t>namenskih sredstev EU, namenskih sredstev finančnih mehanizmov</w:t>
      </w:r>
      <w:r w:rsidR="00D57A11">
        <w:t xml:space="preserve"> in sredstev drugih donatorjev</w:t>
      </w:r>
      <w:r w:rsidR="00B74737">
        <w:t xml:space="preserve"> ter pripadajočih proračunskih postavk slovenke udeležbe.</w:t>
      </w:r>
      <w:r w:rsidRPr="00E76178">
        <w:t xml:space="preserve">  </w:t>
      </w:r>
    </w:p>
    <w:p w14:paraId="78ED3003" w14:textId="77777777" w:rsidR="00F60856" w:rsidRDefault="00F60856" w:rsidP="009B302F">
      <w:pPr>
        <w:jc w:val="both"/>
      </w:pPr>
    </w:p>
    <w:p w14:paraId="3E57EB16" w14:textId="77777777" w:rsidR="00741AA7" w:rsidRPr="00E76178" w:rsidRDefault="00741AA7" w:rsidP="009B302F">
      <w:pPr>
        <w:jc w:val="both"/>
      </w:pPr>
      <w:r w:rsidRPr="00E76178">
        <w:t>Prevzete obveznosti iz drugega in tretjega odstavka tega člena se načrtujejo v finančnem načrtu neposrednega uporabnika in načrtu razvojnih programov.</w:t>
      </w:r>
    </w:p>
    <w:p w14:paraId="4DE2788B" w14:textId="77777777" w:rsidR="008A1D03" w:rsidRPr="00E76178" w:rsidRDefault="008A1D03" w:rsidP="00E24172"/>
    <w:p w14:paraId="04374644" w14:textId="77777777" w:rsidR="00AF0D9F" w:rsidRPr="00A95EE3" w:rsidRDefault="00B74737" w:rsidP="00A95EE3">
      <w:pPr>
        <w:jc w:val="center"/>
        <w:rPr>
          <w:b/>
        </w:rPr>
      </w:pPr>
      <w:r>
        <w:rPr>
          <w:b/>
        </w:rPr>
        <w:t>8</w:t>
      </w:r>
      <w:r w:rsidR="00527386" w:rsidRPr="00A95EE3">
        <w:rPr>
          <w:b/>
        </w:rPr>
        <w:t>.</w:t>
      </w:r>
      <w:r w:rsidR="002711E9" w:rsidRPr="00A95EE3">
        <w:rPr>
          <w:b/>
        </w:rPr>
        <w:t xml:space="preserve"> </w:t>
      </w:r>
      <w:r w:rsidR="00527386" w:rsidRPr="00A95EE3">
        <w:rPr>
          <w:b/>
        </w:rPr>
        <w:t>člen</w:t>
      </w:r>
    </w:p>
    <w:p w14:paraId="578F430B" w14:textId="77777777" w:rsidR="00D57A11" w:rsidRDefault="00D57A11" w:rsidP="00AF0D9F">
      <w:pPr>
        <w:jc w:val="both"/>
      </w:pPr>
      <w:r>
        <w:t>Neposredni uporabnik vodi evidenco projektov iz veljavnega načrta razvojnih programov.</w:t>
      </w:r>
      <w:r w:rsidR="00B74737">
        <w:t xml:space="preserve"> Načrt razvojnih programov mora biti usklajen s posebnim delom proračuna na kontih 42, 43 in 410, po potrebi pa tudi 4</w:t>
      </w:r>
      <w:r w:rsidR="00F60856">
        <w:t>0</w:t>
      </w:r>
      <w:r w:rsidR="00B74737">
        <w:t xml:space="preserve">. </w:t>
      </w:r>
    </w:p>
    <w:p w14:paraId="2E0BDA82" w14:textId="77777777" w:rsidR="00B745EE" w:rsidRDefault="00B745EE" w:rsidP="00AF0D9F">
      <w:pPr>
        <w:jc w:val="both"/>
      </w:pPr>
    </w:p>
    <w:p w14:paraId="17CA7B14" w14:textId="77777777" w:rsidR="00D57A11" w:rsidRDefault="00D57A11" w:rsidP="00AF0D9F">
      <w:pPr>
        <w:jc w:val="both"/>
      </w:pPr>
      <w:r>
        <w:t xml:space="preserve">Spremembe veljavnega načrta razvojnih programov so </w:t>
      </w:r>
      <w:r w:rsidR="00F60856">
        <w:t xml:space="preserve">nove </w:t>
      </w:r>
      <w:r>
        <w:t>uvrstitve projektov v načrt razvojnih programov in druge spremembe projektov.</w:t>
      </w:r>
      <w:r w:rsidR="00F60856">
        <w:t xml:space="preserve"> O spremembah projekta v NRP v letu izvrševanja proračuna v mejah, ki jih omogočajo prerazporeditve, odloča župan.</w:t>
      </w:r>
    </w:p>
    <w:p w14:paraId="4DE07D8A" w14:textId="77777777" w:rsidR="00B745EE" w:rsidRDefault="00B745EE" w:rsidP="00AF0D9F">
      <w:pPr>
        <w:jc w:val="both"/>
      </w:pPr>
    </w:p>
    <w:p w14:paraId="383CF7B7" w14:textId="77777777" w:rsidR="00AF0D9F" w:rsidRPr="00E76178" w:rsidRDefault="00AF0D9F" w:rsidP="00AF0D9F">
      <w:pPr>
        <w:jc w:val="both"/>
      </w:pPr>
      <w:r w:rsidRPr="00E76178">
        <w:t xml:space="preserve">Župan lahko spreminja vrednost projektov v načrtu razvojnih programov. Projekte, katerih vrednost se spremeni za več kot </w:t>
      </w:r>
      <w:r w:rsidR="00F60856">
        <w:t>2</w:t>
      </w:r>
      <w:r w:rsidR="00F02153">
        <w:t>0</w:t>
      </w:r>
      <w:r w:rsidRPr="00E76178">
        <w:t xml:space="preserve"> %</w:t>
      </w:r>
      <w:r w:rsidR="00F60856">
        <w:t>,</w:t>
      </w:r>
      <w:r w:rsidRPr="00E76178">
        <w:t xml:space="preserve"> mora predhodno potrditi občinski svet</w:t>
      </w:r>
      <w:r w:rsidR="001431A3">
        <w:t xml:space="preserve">, razen spremembe vrednosti projektov nad </w:t>
      </w:r>
      <w:r w:rsidR="00F60856">
        <w:t>2</w:t>
      </w:r>
      <w:r w:rsidR="001431A3">
        <w:t>0</w:t>
      </w:r>
      <w:r w:rsidR="0004249F">
        <w:t xml:space="preserve"> </w:t>
      </w:r>
      <w:r w:rsidR="001431A3">
        <w:t>% v primeru, ko se iz občinskega proračuna financira manj kot 50 % izhodiščne vrednosti projekta.</w:t>
      </w:r>
    </w:p>
    <w:p w14:paraId="15F8067E" w14:textId="77777777" w:rsidR="002C4B51" w:rsidRPr="00E76178" w:rsidRDefault="002C4B51" w:rsidP="00527386"/>
    <w:p w14:paraId="671DCF89" w14:textId="77777777" w:rsidR="00741AA7" w:rsidRPr="00A95EE3" w:rsidRDefault="00F60856" w:rsidP="00A95EE3">
      <w:pPr>
        <w:jc w:val="center"/>
        <w:rPr>
          <w:b/>
        </w:rPr>
      </w:pPr>
      <w:r>
        <w:rPr>
          <w:b/>
        </w:rPr>
        <w:t>9</w:t>
      </w:r>
      <w:r w:rsidR="00741AA7" w:rsidRPr="00A95EE3">
        <w:rPr>
          <w:b/>
        </w:rPr>
        <w:t>.</w:t>
      </w:r>
      <w:r w:rsidR="002711E9" w:rsidRPr="00A95EE3">
        <w:rPr>
          <w:b/>
        </w:rPr>
        <w:t xml:space="preserve"> </w:t>
      </w:r>
      <w:r w:rsidR="00741AA7" w:rsidRPr="00A95EE3">
        <w:rPr>
          <w:b/>
        </w:rPr>
        <w:t xml:space="preserve">člen </w:t>
      </w:r>
    </w:p>
    <w:p w14:paraId="7DAFAAB5" w14:textId="77777777" w:rsidR="00741AA7" w:rsidRPr="00E76178" w:rsidRDefault="00741AA7" w:rsidP="00741AA7">
      <w:pPr>
        <w:jc w:val="both"/>
      </w:pPr>
      <w:r w:rsidRPr="00E76178">
        <w:t>Ožji deli Občine Šoštanj oziroma krajevne skupnosti lahko brez predhodnega soglasja župana sklenejo pravne posle:</w:t>
      </w:r>
    </w:p>
    <w:p w14:paraId="5734F031" w14:textId="77777777" w:rsidR="00741AA7" w:rsidRPr="00E76178" w:rsidRDefault="00741AA7" w:rsidP="00741AA7">
      <w:pPr>
        <w:numPr>
          <w:ilvl w:val="1"/>
          <w:numId w:val="1"/>
        </w:numPr>
        <w:jc w:val="both"/>
      </w:pPr>
      <w:r w:rsidRPr="00E76178">
        <w:t>za blago in storitve do višine 850,00 EUR brez DDV,</w:t>
      </w:r>
    </w:p>
    <w:p w14:paraId="24EF6D2E" w14:textId="77777777" w:rsidR="009D4B75" w:rsidRDefault="00741AA7" w:rsidP="00741AA7">
      <w:pPr>
        <w:numPr>
          <w:ilvl w:val="1"/>
          <w:numId w:val="1"/>
        </w:numPr>
        <w:jc w:val="both"/>
      </w:pPr>
      <w:r w:rsidRPr="00E76178">
        <w:t>za gradnjo v višini do 1.700 EUR brez DDV.</w:t>
      </w:r>
    </w:p>
    <w:p w14:paraId="103C4E56" w14:textId="77777777" w:rsidR="00F05AA8" w:rsidRPr="00E76178" w:rsidRDefault="00F05AA8" w:rsidP="00741AA7">
      <w:pPr>
        <w:jc w:val="both"/>
      </w:pPr>
    </w:p>
    <w:p w14:paraId="7495FDCC" w14:textId="77777777" w:rsidR="009B302F" w:rsidRPr="00A95EE3" w:rsidRDefault="00F60856" w:rsidP="00A95EE3">
      <w:pPr>
        <w:jc w:val="center"/>
        <w:rPr>
          <w:b/>
        </w:rPr>
      </w:pPr>
      <w:r>
        <w:rPr>
          <w:b/>
        </w:rPr>
        <w:t>10</w:t>
      </w:r>
      <w:r w:rsidR="00741AA7" w:rsidRPr="00A95EE3">
        <w:rPr>
          <w:b/>
        </w:rPr>
        <w:t>. člen</w:t>
      </w:r>
    </w:p>
    <w:p w14:paraId="39368308" w14:textId="77777777" w:rsidR="00582F53" w:rsidRDefault="00582F53" w:rsidP="00741AA7">
      <w:pPr>
        <w:jc w:val="both"/>
      </w:pPr>
      <w:r>
        <w:t xml:space="preserve">Na podlagi 49. člena ZJF se v proračunu občine zagotavljajo sredstva za proračunsko rezervo, ki deluje kot proračunski sklad. </w:t>
      </w:r>
    </w:p>
    <w:p w14:paraId="7B4D908F" w14:textId="77777777" w:rsidR="0045004C" w:rsidRDefault="0045004C" w:rsidP="00741AA7">
      <w:pPr>
        <w:jc w:val="both"/>
      </w:pPr>
    </w:p>
    <w:p w14:paraId="69AFC92A" w14:textId="77777777" w:rsidR="005A6B92" w:rsidRPr="00E76178" w:rsidRDefault="00582F53" w:rsidP="00741AA7">
      <w:pPr>
        <w:jc w:val="both"/>
      </w:pPr>
      <w:r>
        <w:t xml:space="preserve">Na predlog občinske uprave </w:t>
      </w:r>
      <w:r w:rsidR="00741AA7" w:rsidRPr="00E76178">
        <w:t>o uporabi sredstev proračunske rezerve za namene iz drugega odstavka 49.</w:t>
      </w:r>
      <w:r w:rsidR="0004249F">
        <w:t xml:space="preserve"> </w:t>
      </w:r>
      <w:r w:rsidR="00741AA7" w:rsidRPr="00E76178">
        <w:t xml:space="preserve">člena ZJF </w:t>
      </w:r>
      <w:r>
        <w:t xml:space="preserve">odloča </w:t>
      </w:r>
      <w:r w:rsidR="00741AA7" w:rsidRPr="00E76178">
        <w:t>župan in o tem s pisnimi poročili obvešča občinski svet.</w:t>
      </w:r>
    </w:p>
    <w:p w14:paraId="17C53CFB" w14:textId="77777777" w:rsidR="008A1D03" w:rsidRDefault="00741AA7" w:rsidP="00741AA7">
      <w:pPr>
        <w:jc w:val="both"/>
      </w:pPr>
      <w:r w:rsidRPr="00E76178">
        <w:t xml:space="preserve"> </w:t>
      </w:r>
    </w:p>
    <w:p w14:paraId="04C1322B" w14:textId="7FC5E279" w:rsidR="00582F53" w:rsidRDefault="00582F53" w:rsidP="00741AA7">
      <w:pPr>
        <w:jc w:val="both"/>
      </w:pPr>
      <w:r w:rsidRPr="00E76178">
        <w:t>Proračunska rezerva se v letu 20</w:t>
      </w:r>
      <w:r w:rsidR="009472EE">
        <w:t>25</w:t>
      </w:r>
      <w:r w:rsidRPr="00E76178">
        <w:t xml:space="preserve"> oblikuje v višini </w:t>
      </w:r>
      <w:r w:rsidR="00263A0E">
        <w:t>11</w:t>
      </w:r>
      <w:r>
        <w:t>0</w:t>
      </w:r>
      <w:r w:rsidRPr="00E76178">
        <w:t>.000 EUR.</w:t>
      </w:r>
    </w:p>
    <w:p w14:paraId="02AE4BF4" w14:textId="77777777" w:rsidR="00582F53" w:rsidRDefault="00582F53" w:rsidP="00741AA7">
      <w:pPr>
        <w:jc w:val="both"/>
      </w:pPr>
    </w:p>
    <w:p w14:paraId="73A4892F" w14:textId="77777777" w:rsidR="00582F53" w:rsidRPr="00A95EE3" w:rsidRDefault="00582F53" w:rsidP="00582F53">
      <w:pPr>
        <w:jc w:val="center"/>
        <w:rPr>
          <w:b/>
        </w:rPr>
      </w:pPr>
      <w:r>
        <w:rPr>
          <w:b/>
        </w:rPr>
        <w:t>11</w:t>
      </w:r>
      <w:r w:rsidRPr="00A95EE3">
        <w:rPr>
          <w:b/>
        </w:rPr>
        <w:t>. člen</w:t>
      </w:r>
    </w:p>
    <w:p w14:paraId="0A2FBD1A" w14:textId="77777777" w:rsidR="0019137B" w:rsidRDefault="00582F53" w:rsidP="0019137B">
      <w:pPr>
        <w:jc w:val="both"/>
      </w:pPr>
      <w:r>
        <w:t>Na podlagi 42. člena ZJF se v proračunu del predvidenih proračunskih prejemkov v naprej ne prerazporedi, ampak zadrži kot splošna proračunska rezervacija, ki</w:t>
      </w:r>
      <w:r w:rsidR="0019137B">
        <w:t xml:space="preserve"> </w:t>
      </w:r>
      <w:r>
        <w:t>se v proračunu izkazuje posebej</w:t>
      </w:r>
      <w:r w:rsidR="0019137B">
        <w:t xml:space="preserve">. </w:t>
      </w:r>
    </w:p>
    <w:p w14:paraId="64763D93" w14:textId="77777777" w:rsidR="0019137B" w:rsidRDefault="0019137B" w:rsidP="0019137B">
      <w:pPr>
        <w:jc w:val="both"/>
      </w:pPr>
    </w:p>
    <w:p w14:paraId="272513E9" w14:textId="77777777" w:rsidR="00582F53" w:rsidRDefault="0019137B" w:rsidP="0019137B">
      <w:pPr>
        <w:jc w:val="both"/>
      </w:pPr>
      <w:r>
        <w:t xml:space="preserve">O uporabi sredstev splošne proračunske rezervacije odloča župan. Dodeljena sredstva se razporedijo v finančni načrt neposrednega uporabnika.  </w:t>
      </w:r>
    </w:p>
    <w:p w14:paraId="54798D83" w14:textId="77777777" w:rsidR="00582F53" w:rsidRDefault="00582F53" w:rsidP="00741AA7">
      <w:pPr>
        <w:jc w:val="both"/>
      </w:pPr>
    </w:p>
    <w:p w14:paraId="5636B973" w14:textId="77777777" w:rsidR="00353D3F" w:rsidRPr="009B0DC0" w:rsidRDefault="00353D3F" w:rsidP="00741AA7">
      <w:pPr>
        <w:jc w:val="both"/>
        <w:rPr>
          <w:b/>
          <w:sz w:val="22"/>
          <w:szCs w:val="22"/>
        </w:rPr>
      </w:pPr>
      <w:r w:rsidRPr="009B0DC0">
        <w:rPr>
          <w:b/>
          <w:sz w:val="22"/>
          <w:szCs w:val="22"/>
        </w:rPr>
        <w:t xml:space="preserve">4. POSEBNOSTI UPRAVLJANJA IN PRODAJE STVARNEGA IN </w:t>
      </w:r>
      <w:r w:rsidR="002C4B51" w:rsidRPr="009B0DC0">
        <w:rPr>
          <w:b/>
          <w:sz w:val="22"/>
          <w:szCs w:val="22"/>
        </w:rPr>
        <w:t>F</w:t>
      </w:r>
      <w:r w:rsidRPr="009B0DC0">
        <w:rPr>
          <w:b/>
          <w:sz w:val="22"/>
          <w:szCs w:val="22"/>
        </w:rPr>
        <w:t>INANČNEGA PREMOŽENJA OBČINE</w:t>
      </w:r>
    </w:p>
    <w:p w14:paraId="0C7548F9" w14:textId="77777777" w:rsidR="00BE1C53" w:rsidRPr="009B0DC0" w:rsidRDefault="00BE1C53" w:rsidP="00741AA7">
      <w:pPr>
        <w:jc w:val="center"/>
        <w:rPr>
          <w:b/>
        </w:rPr>
      </w:pPr>
    </w:p>
    <w:p w14:paraId="0A7D23EB" w14:textId="77777777" w:rsidR="00741AA7" w:rsidRPr="009B0DC0" w:rsidRDefault="009B302F" w:rsidP="009B0DC0">
      <w:pPr>
        <w:jc w:val="center"/>
        <w:rPr>
          <w:b/>
        </w:rPr>
      </w:pPr>
      <w:r w:rsidRPr="009B0DC0">
        <w:rPr>
          <w:b/>
        </w:rPr>
        <w:t>1</w:t>
      </w:r>
      <w:r w:rsidR="0019137B">
        <w:rPr>
          <w:b/>
        </w:rPr>
        <w:t>2</w:t>
      </w:r>
      <w:r w:rsidR="00741AA7" w:rsidRPr="009B0DC0">
        <w:rPr>
          <w:b/>
        </w:rPr>
        <w:t>.</w:t>
      </w:r>
      <w:r w:rsidR="002711E9" w:rsidRPr="009B0DC0">
        <w:rPr>
          <w:b/>
        </w:rPr>
        <w:t xml:space="preserve"> </w:t>
      </w:r>
      <w:r w:rsidR="00741AA7" w:rsidRPr="009B0DC0">
        <w:rPr>
          <w:b/>
        </w:rPr>
        <w:t>člen</w:t>
      </w:r>
    </w:p>
    <w:p w14:paraId="7DD7AF55" w14:textId="230631E7" w:rsidR="00C035F7" w:rsidRDefault="00741AA7" w:rsidP="00353D3F">
      <w:pPr>
        <w:jc w:val="both"/>
      </w:pPr>
      <w:r w:rsidRPr="00E76178">
        <w:t>Če so izpolnjeni pogoji iz tretjega odstavka 77.</w:t>
      </w:r>
      <w:r w:rsidR="0004249F">
        <w:t xml:space="preserve"> </w:t>
      </w:r>
      <w:r w:rsidRPr="00E76178">
        <w:t xml:space="preserve">člena ZJF, lahko župan </w:t>
      </w:r>
      <w:r w:rsidR="00353D3F">
        <w:t>v letu 20</w:t>
      </w:r>
      <w:r w:rsidR="00BD09A5">
        <w:t>2</w:t>
      </w:r>
      <w:r w:rsidR="009472EE">
        <w:t>5</w:t>
      </w:r>
      <w:r w:rsidR="00353D3F">
        <w:t xml:space="preserve"> odpiše dolgove, ki jih imajo dolžniki do občine, in</w:t>
      </w:r>
      <w:r w:rsidR="00BD09A5">
        <w:t xml:space="preserve"> sicer največ do skupne višine </w:t>
      </w:r>
      <w:r w:rsidR="001E12CE">
        <w:t>2</w:t>
      </w:r>
      <w:r w:rsidR="00353D3F">
        <w:t xml:space="preserve">.000 </w:t>
      </w:r>
      <w:r w:rsidR="00664F9F">
        <w:t>EUR</w:t>
      </w:r>
      <w:r w:rsidR="00353D3F">
        <w:t>.</w:t>
      </w:r>
      <w:r w:rsidRPr="00E76178">
        <w:t xml:space="preserve">  </w:t>
      </w:r>
    </w:p>
    <w:p w14:paraId="566E3C39" w14:textId="77777777" w:rsidR="00C035F7" w:rsidRDefault="00C035F7" w:rsidP="00353D3F">
      <w:pPr>
        <w:jc w:val="both"/>
      </w:pPr>
    </w:p>
    <w:p w14:paraId="5E0949B8" w14:textId="77777777" w:rsidR="00E466A3" w:rsidRPr="00E76178" w:rsidRDefault="00C035F7" w:rsidP="00353D3F">
      <w:pPr>
        <w:jc w:val="both"/>
      </w:pPr>
      <w:r>
        <w:lastRenderedPageBreak/>
        <w:t>Obseg sredstev se v primerih, ko dolg do posameznega dolžnika neposrednega upora</w:t>
      </w:r>
      <w:r w:rsidR="0003338D">
        <w:t>bnika ne presega stroška dveh ev</w:t>
      </w:r>
      <w:r>
        <w:t>rov, v poslovnih knjigah razknjiži in se v kvoto iz prvega odstavka tega člena ne všteva.</w:t>
      </w:r>
      <w:r w:rsidR="00741AA7" w:rsidRPr="00E76178">
        <w:t xml:space="preserve"> </w:t>
      </w:r>
      <w:r w:rsidR="00353D3F">
        <w:t xml:space="preserve"> </w:t>
      </w:r>
    </w:p>
    <w:p w14:paraId="255E1114" w14:textId="77777777" w:rsidR="00E24172" w:rsidRDefault="0018365B" w:rsidP="00E24172">
      <w:pPr>
        <w:jc w:val="both"/>
      </w:pPr>
      <w:r>
        <w:t xml:space="preserve"> </w:t>
      </w:r>
    </w:p>
    <w:p w14:paraId="24C2020F" w14:textId="77777777" w:rsidR="00664F9F" w:rsidRPr="009B0DC0" w:rsidRDefault="00664F9F" w:rsidP="00E24172">
      <w:pPr>
        <w:jc w:val="both"/>
        <w:rPr>
          <w:b/>
          <w:sz w:val="22"/>
          <w:szCs w:val="22"/>
        </w:rPr>
      </w:pPr>
      <w:r w:rsidRPr="009B0DC0">
        <w:rPr>
          <w:b/>
          <w:sz w:val="22"/>
          <w:szCs w:val="22"/>
        </w:rPr>
        <w:t>5. OBSEG ZADOLŽEVANJA IN POROŠTEV OBČINE IN JAVNEGA SEKTORJA</w:t>
      </w:r>
    </w:p>
    <w:p w14:paraId="41D5D277" w14:textId="77777777" w:rsidR="00664F9F" w:rsidRPr="009B0DC0" w:rsidRDefault="00664F9F" w:rsidP="00E24172">
      <w:pPr>
        <w:jc w:val="both"/>
        <w:rPr>
          <w:b/>
        </w:rPr>
      </w:pPr>
    </w:p>
    <w:p w14:paraId="42F7F0FA" w14:textId="77777777" w:rsidR="00AA21FB" w:rsidRPr="009B0DC0" w:rsidRDefault="00741AA7" w:rsidP="009B0DC0">
      <w:pPr>
        <w:jc w:val="center"/>
        <w:rPr>
          <w:b/>
        </w:rPr>
      </w:pPr>
      <w:r w:rsidRPr="009B0DC0">
        <w:rPr>
          <w:b/>
        </w:rPr>
        <w:t>1</w:t>
      </w:r>
      <w:r w:rsidR="0019137B">
        <w:rPr>
          <w:b/>
        </w:rPr>
        <w:t>3</w:t>
      </w:r>
      <w:r w:rsidR="00AA21FB" w:rsidRPr="009B0DC0">
        <w:rPr>
          <w:b/>
        </w:rPr>
        <w:t>.</w:t>
      </w:r>
      <w:r w:rsidRPr="009B0DC0">
        <w:rPr>
          <w:b/>
        </w:rPr>
        <w:t xml:space="preserve"> </w:t>
      </w:r>
      <w:r w:rsidR="00AA21FB" w:rsidRPr="009B0DC0">
        <w:rPr>
          <w:b/>
        </w:rPr>
        <w:t>člen</w:t>
      </w:r>
    </w:p>
    <w:p w14:paraId="3CE4872E" w14:textId="6057CBF9" w:rsidR="00AA21FB" w:rsidRDefault="00353D3F" w:rsidP="00AA21FB">
      <w:pPr>
        <w:jc w:val="both"/>
      </w:pPr>
      <w:r>
        <w:t>Zaradi kritja presežkov odhodkov nad prihodki v bilanci prihodkov in odhodkov, presežkov izdatkov n</w:t>
      </w:r>
      <w:r w:rsidR="00664F9F">
        <w:t xml:space="preserve">ad prejemki v računu finančnih </w:t>
      </w:r>
      <w:r>
        <w:t>terjatev in naložb ter od</w:t>
      </w:r>
      <w:r w:rsidR="00664F9F">
        <w:t xml:space="preserve">plačila dolgov v </w:t>
      </w:r>
      <w:r>
        <w:t>računu financiranja se občina za pro</w:t>
      </w:r>
      <w:r w:rsidR="00664F9F">
        <w:t>r</w:t>
      </w:r>
      <w:r>
        <w:t>ačun leta 20</w:t>
      </w:r>
      <w:r w:rsidR="00BD09A5">
        <w:t>2</w:t>
      </w:r>
      <w:r w:rsidR="009472EE">
        <w:t>5</w:t>
      </w:r>
      <w:r>
        <w:t xml:space="preserve"> lahko zadolži do višine</w:t>
      </w:r>
      <w:r w:rsidR="00AA45C5">
        <w:t xml:space="preserve"> </w:t>
      </w:r>
      <w:r w:rsidR="0019137B">
        <w:t>1</w:t>
      </w:r>
      <w:r w:rsidR="00DC55AE">
        <w:t>.</w:t>
      </w:r>
      <w:r w:rsidR="001411D9">
        <w:t>9</w:t>
      </w:r>
      <w:r w:rsidR="004E5235">
        <w:t>0</w:t>
      </w:r>
      <w:r w:rsidR="00BD09A5">
        <w:t>0.0</w:t>
      </w:r>
      <w:r>
        <w:t xml:space="preserve">00 </w:t>
      </w:r>
      <w:r w:rsidR="003F4B83">
        <w:t>EUR.</w:t>
      </w:r>
      <w:r>
        <w:t xml:space="preserve">  </w:t>
      </w:r>
    </w:p>
    <w:p w14:paraId="2622B9D1" w14:textId="77777777" w:rsidR="008E2EBD" w:rsidRDefault="008E2EBD" w:rsidP="00AA21FB">
      <w:pPr>
        <w:jc w:val="both"/>
      </w:pPr>
    </w:p>
    <w:p w14:paraId="1D3F530E" w14:textId="05487E03" w:rsidR="008E2EBD" w:rsidRDefault="00BD09A5" w:rsidP="00AA21FB">
      <w:pPr>
        <w:jc w:val="both"/>
      </w:pPr>
      <w:r>
        <w:t>Občina v letu 202</w:t>
      </w:r>
      <w:r w:rsidR="009472EE">
        <w:t>5</w:t>
      </w:r>
      <w:r w:rsidR="008E2EBD">
        <w:t xml:space="preserve"> ne planira izdajanje poroštev za izpolnitev obveznosti javnih zavodov, javnih skladov in javnih agencij ter javnih podjetij, katerih ustanoviteljica je.</w:t>
      </w:r>
    </w:p>
    <w:p w14:paraId="2162088B" w14:textId="77777777" w:rsidR="00741AA7" w:rsidRDefault="00741AA7" w:rsidP="00AA21FB">
      <w:pPr>
        <w:jc w:val="both"/>
      </w:pPr>
    </w:p>
    <w:p w14:paraId="48EE88C6" w14:textId="77777777" w:rsidR="008A1D03" w:rsidRPr="009B0DC0" w:rsidRDefault="00664F9F" w:rsidP="00AA21FB">
      <w:pPr>
        <w:jc w:val="both"/>
        <w:rPr>
          <w:b/>
          <w:sz w:val="22"/>
          <w:szCs w:val="22"/>
        </w:rPr>
      </w:pPr>
      <w:r w:rsidRPr="009B0DC0">
        <w:rPr>
          <w:b/>
          <w:sz w:val="22"/>
          <w:szCs w:val="22"/>
        </w:rPr>
        <w:t>6. PREHODNE IN KONČNE DOLOČBE</w:t>
      </w:r>
    </w:p>
    <w:p w14:paraId="0201EA53" w14:textId="77777777" w:rsidR="00BE1C53" w:rsidRPr="009B0DC0" w:rsidRDefault="00BE1C53" w:rsidP="00AA21FB">
      <w:pPr>
        <w:jc w:val="both"/>
        <w:rPr>
          <w:b/>
        </w:rPr>
      </w:pPr>
    </w:p>
    <w:p w14:paraId="1E873631" w14:textId="77777777" w:rsidR="0070065F" w:rsidRPr="009B0DC0" w:rsidRDefault="00741AA7" w:rsidP="009B0DC0">
      <w:pPr>
        <w:jc w:val="center"/>
        <w:rPr>
          <w:b/>
        </w:rPr>
      </w:pPr>
      <w:r w:rsidRPr="009B0DC0">
        <w:rPr>
          <w:b/>
        </w:rPr>
        <w:t>1</w:t>
      </w:r>
      <w:r w:rsidR="0019137B">
        <w:rPr>
          <w:b/>
        </w:rPr>
        <w:t>4</w:t>
      </w:r>
      <w:r w:rsidRPr="009B0DC0">
        <w:rPr>
          <w:b/>
        </w:rPr>
        <w:t>. člen</w:t>
      </w:r>
    </w:p>
    <w:p w14:paraId="4436A695" w14:textId="5C68F1C4" w:rsidR="00741AA7" w:rsidRPr="00E76178" w:rsidRDefault="00741AA7" w:rsidP="00741AA7">
      <w:pPr>
        <w:jc w:val="both"/>
      </w:pPr>
      <w:r w:rsidRPr="00E76178">
        <w:t>V obdobju začasnega financiranja Občine Šoštanj v letu 20</w:t>
      </w:r>
      <w:r w:rsidR="00523A2F">
        <w:t>2</w:t>
      </w:r>
      <w:r w:rsidR="009472EE">
        <w:t>6</w:t>
      </w:r>
      <w:r w:rsidRPr="00E76178">
        <w:t>, če bo začasno financiranje potrebno, se uporablja ta odlok in sklep o d</w:t>
      </w:r>
      <w:r w:rsidR="00E24172" w:rsidRPr="00E76178">
        <w:t>oločitvi začasnega financiranja.</w:t>
      </w:r>
    </w:p>
    <w:p w14:paraId="7FA1761F" w14:textId="77777777" w:rsidR="008A1D03" w:rsidRPr="00E76178" w:rsidRDefault="008A1D03" w:rsidP="00741AA7">
      <w:pPr>
        <w:jc w:val="both"/>
      </w:pPr>
    </w:p>
    <w:p w14:paraId="703D74DA" w14:textId="77777777" w:rsidR="00664F9F" w:rsidRPr="009B0DC0" w:rsidRDefault="00741AA7" w:rsidP="009B0DC0">
      <w:pPr>
        <w:jc w:val="center"/>
        <w:rPr>
          <w:b/>
        </w:rPr>
      </w:pPr>
      <w:r w:rsidRPr="009B0DC0">
        <w:rPr>
          <w:b/>
        </w:rPr>
        <w:t>1</w:t>
      </w:r>
      <w:r w:rsidR="00E13CA7">
        <w:rPr>
          <w:b/>
        </w:rPr>
        <w:t>5</w:t>
      </w:r>
      <w:r w:rsidRPr="009B0DC0">
        <w:rPr>
          <w:b/>
        </w:rPr>
        <w:t>. člen</w:t>
      </w:r>
    </w:p>
    <w:p w14:paraId="00B8B720" w14:textId="0CCC6764" w:rsidR="00741AA7" w:rsidRPr="00E76178" w:rsidRDefault="00741AA7" w:rsidP="00741AA7">
      <w:pPr>
        <w:jc w:val="both"/>
      </w:pPr>
      <w:r w:rsidRPr="00E76178">
        <w:t>Ta odlok začne veljati naslednji dan po objavi v Uradnem listu Občine Šoštanj</w:t>
      </w:r>
      <w:r w:rsidR="0045004C">
        <w:t xml:space="preserve">, </w:t>
      </w:r>
      <w:r w:rsidR="00FF3D09">
        <w:t xml:space="preserve">uporablja pa se od </w:t>
      </w:r>
      <w:r w:rsidR="0045004C">
        <w:t>1.</w:t>
      </w:r>
      <w:r w:rsidR="00FF3D09">
        <w:t xml:space="preserve"> </w:t>
      </w:r>
      <w:r w:rsidR="0045004C">
        <w:t>1.</w:t>
      </w:r>
      <w:r w:rsidR="00FF3D09">
        <w:t xml:space="preserve"> </w:t>
      </w:r>
      <w:r w:rsidR="0045004C">
        <w:t>20</w:t>
      </w:r>
      <w:r w:rsidR="00BD09A5">
        <w:t>2</w:t>
      </w:r>
      <w:r w:rsidR="009472EE">
        <w:t>5</w:t>
      </w:r>
      <w:r w:rsidR="0045004C">
        <w:t xml:space="preserve"> dalje</w:t>
      </w:r>
      <w:r w:rsidRPr="00E76178">
        <w:t>.</w:t>
      </w:r>
    </w:p>
    <w:p w14:paraId="4955F7B4" w14:textId="77777777" w:rsidR="0070065F" w:rsidRDefault="0070065F">
      <w:pPr>
        <w:jc w:val="both"/>
      </w:pPr>
    </w:p>
    <w:p w14:paraId="020C8D43" w14:textId="77777777" w:rsidR="00870047" w:rsidRDefault="00870047">
      <w:pPr>
        <w:jc w:val="both"/>
      </w:pPr>
    </w:p>
    <w:p w14:paraId="3693EC40" w14:textId="7F375BAC" w:rsidR="0019137B" w:rsidRPr="00E76178" w:rsidRDefault="0019137B" w:rsidP="0019137B">
      <w:pPr>
        <w:jc w:val="both"/>
      </w:pPr>
      <w:r w:rsidRPr="00E76178">
        <w:t>Številka:</w:t>
      </w:r>
      <w:r>
        <w:t xml:space="preserve">  </w:t>
      </w:r>
      <w:r w:rsidRPr="009D4B75">
        <w:t xml:space="preserve"> </w:t>
      </w:r>
      <w:r>
        <w:tab/>
      </w:r>
      <w:r>
        <w:tab/>
      </w:r>
      <w:r>
        <w:tab/>
      </w:r>
      <w:r>
        <w:tab/>
      </w:r>
      <w:r>
        <w:tab/>
      </w:r>
      <w:r>
        <w:tab/>
        <w:t>Boris GOLIČNIK, l. r.</w:t>
      </w:r>
    </w:p>
    <w:p w14:paraId="63DB33D5" w14:textId="09C4E1C1" w:rsidR="0019137B" w:rsidRDefault="0019137B" w:rsidP="0019137B">
      <w:pPr>
        <w:jc w:val="both"/>
      </w:pPr>
      <w:r>
        <w:t xml:space="preserve">Datum:  </w:t>
      </w:r>
      <w:r>
        <w:tab/>
      </w:r>
      <w:r>
        <w:tab/>
      </w:r>
      <w:r>
        <w:tab/>
      </w:r>
      <w:r>
        <w:tab/>
      </w:r>
      <w:r>
        <w:tab/>
      </w:r>
      <w:r>
        <w:tab/>
        <w:t>župan</w:t>
      </w:r>
      <w:r w:rsidR="000E609B">
        <w:t xml:space="preserve"> </w:t>
      </w:r>
      <w:r>
        <w:t>Občine Šoštanj</w:t>
      </w:r>
      <w:r w:rsidRPr="00E76178">
        <w:t xml:space="preserve">                                                                                    </w:t>
      </w:r>
      <w:r>
        <w:t xml:space="preserve">                   </w:t>
      </w:r>
    </w:p>
    <w:p w14:paraId="6B606863" w14:textId="77777777" w:rsidR="00905D73" w:rsidRDefault="00905D73" w:rsidP="00DC2A35"/>
    <w:p w14:paraId="6C91A163" w14:textId="77777777" w:rsidR="00C035F7" w:rsidRDefault="00C035F7" w:rsidP="00DC2A35"/>
    <w:p w14:paraId="29E943E2" w14:textId="77777777" w:rsidR="00C035F7" w:rsidRDefault="00C035F7" w:rsidP="00DC2A35">
      <w:r>
        <w:t xml:space="preserve">Priloga: </w:t>
      </w:r>
    </w:p>
    <w:p w14:paraId="74DE04BF" w14:textId="143AE608" w:rsidR="00C035F7" w:rsidRDefault="001411D9" w:rsidP="00DC2A35">
      <w:r>
        <w:t xml:space="preserve">Splošni, </w:t>
      </w:r>
      <w:r w:rsidR="00C035F7">
        <w:t>posebni del proračuna in načrt razvojnih programov</w:t>
      </w:r>
    </w:p>
    <w:p w14:paraId="046916D1" w14:textId="77777777" w:rsidR="00877654" w:rsidRDefault="00877654" w:rsidP="007A2558"/>
    <w:p w14:paraId="4E9CF41E" w14:textId="77777777" w:rsidR="00F05AA8" w:rsidRDefault="00F05AA8" w:rsidP="007A2558">
      <w:pPr>
        <w:rPr>
          <w:b/>
        </w:rPr>
      </w:pPr>
    </w:p>
    <w:p w14:paraId="764DF278" w14:textId="77777777" w:rsidR="00FD1D2B" w:rsidRDefault="00FD1D2B" w:rsidP="007A2558">
      <w:pPr>
        <w:rPr>
          <w:b/>
        </w:rPr>
      </w:pPr>
    </w:p>
    <w:p w14:paraId="275BE20D" w14:textId="77777777" w:rsidR="009B0DC0" w:rsidRDefault="009B0DC0" w:rsidP="007A2558">
      <w:pPr>
        <w:rPr>
          <w:b/>
        </w:rPr>
      </w:pPr>
    </w:p>
    <w:p w14:paraId="0AFBDB53" w14:textId="77777777" w:rsidR="0019137B" w:rsidRPr="00E76178" w:rsidRDefault="0019137B" w:rsidP="0019137B">
      <w:r w:rsidRPr="00E76178">
        <w:rPr>
          <w:b/>
        </w:rPr>
        <w:t>ŽUPAN</w:t>
      </w:r>
    </w:p>
    <w:p w14:paraId="7B19C761" w14:textId="77777777" w:rsidR="0019137B" w:rsidRPr="00E76178" w:rsidRDefault="0019137B" w:rsidP="0019137B">
      <w:pPr>
        <w:jc w:val="both"/>
      </w:pPr>
      <w:r w:rsidRPr="00E76178">
        <w:t xml:space="preserve">Na podlagi </w:t>
      </w:r>
      <w:r>
        <w:t>31</w:t>
      </w:r>
      <w:r w:rsidRPr="00E76178">
        <w:t>.</w:t>
      </w:r>
      <w:r>
        <w:t xml:space="preserve"> </w:t>
      </w:r>
      <w:r w:rsidRPr="00E76178">
        <w:t>člena statuta Občine Šošt</w:t>
      </w:r>
      <w:r>
        <w:t xml:space="preserve">anj </w:t>
      </w:r>
      <w:r w:rsidRPr="00FF3D09">
        <w:t>(Uradni list Občine Šoštanj, št. 5/2018) predlagam</w:t>
      </w:r>
      <w:r w:rsidRPr="00E76178">
        <w:t xml:space="preserve"> </w:t>
      </w:r>
      <w:r>
        <w:t xml:space="preserve">Občinskemu </w:t>
      </w:r>
      <w:r w:rsidRPr="00E76178">
        <w:t>svetu</w:t>
      </w:r>
      <w:r>
        <w:t xml:space="preserve"> Občine Šoštanj</w:t>
      </w:r>
      <w:r w:rsidRPr="00E76178">
        <w:t xml:space="preserve">, da ta </w:t>
      </w:r>
      <w:r w:rsidR="00AF6D5B">
        <w:t>osnutek</w:t>
      </w:r>
      <w:r>
        <w:t xml:space="preserve"> </w:t>
      </w:r>
      <w:r w:rsidRPr="00E76178">
        <w:t>odlok</w:t>
      </w:r>
      <w:r>
        <w:t>a</w:t>
      </w:r>
      <w:r w:rsidRPr="00E76178">
        <w:t xml:space="preserve"> sprejme.</w:t>
      </w:r>
    </w:p>
    <w:p w14:paraId="2702D857" w14:textId="77777777" w:rsidR="0019137B" w:rsidRPr="00E76178" w:rsidRDefault="0019137B" w:rsidP="0019137B"/>
    <w:p w14:paraId="33323E13" w14:textId="77777777" w:rsidR="0019137B" w:rsidRPr="00E76178" w:rsidRDefault="0019137B" w:rsidP="0019137B"/>
    <w:p w14:paraId="298428C9" w14:textId="77777777" w:rsidR="0019137B" w:rsidRPr="00E76178" w:rsidRDefault="0019137B" w:rsidP="0019137B">
      <w:pPr>
        <w:ind w:left="4956" w:firstLine="708"/>
      </w:pPr>
      <w:r>
        <w:t xml:space="preserve">                </w:t>
      </w:r>
    </w:p>
    <w:p w14:paraId="4E1D5E3E" w14:textId="77777777" w:rsidR="0019137B" w:rsidRPr="00E76178" w:rsidRDefault="0019137B" w:rsidP="0019137B">
      <w:pPr>
        <w:jc w:val="both"/>
      </w:pPr>
      <w:r w:rsidRPr="00E76178">
        <w:t xml:space="preserve">                                                                                                  </w:t>
      </w:r>
      <w:r>
        <w:t xml:space="preserve">            </w:t>
      </w:r>
      <w:r w:rsidR="00AF6D5B">
        <w:t xml:space="preserve"> </w:t>
      </w:r>
      <w:r>
        <w:t xml:space="preserve">Boris GOLIČNIK, </w:t>
      </w:r>
    </w:p>
    <w:p w14:paraId="57B54557" w14:textId="77777777" w:rsidR="0019137B" w:rsidRPr="00E76178" w:rsidRDefault="0019137B" w:rsidP="0019137B">
      <w:r>
        <w:tab/>
      </w:r>
      <w:r>
        <w:tab/>
      </w:r>
      <w:r>
        <w:tab/>
      </w:r>
      <w:r>
        <w:tab/>
      </w:r>
      <w:r>
        <w:tab/>
      </w:r>
      <w:r>
        <w:tab/>
      </w:r>
      <w:r>
        <w:tab/>
      </w:r>
      <w:r>
        <w:tab/>
      </w:r>
      <w:r>
        <w:tab/>
        <w:t xml:space="preserve">     župan Občine Šoštanj</w:t>
      </w:r>
    </w:p>
    <w:p w14:paraId="60320C1F" w14:textId="77777777" w:rsidR="007A2558" w:rsidRPr="00E76178" w:rsidRDefault="007A2558" w:rsidP="0019137B"/>
    <w:sectPr w:rsidR="007A2558" w:rsidRPr="00E76178" w:rsidSect="00F17D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541D8"/>
    <w:multiLevelType w:val="singleLevel"/>
    <w:tmpl w:val="824AB72A"/>
    <w:lvl w:ilvl="0">
      <w:start w:val="40"/>
      <w:numFmt w:val="decimal"/>
      <w:lvlText w:val="%1"/>
      <w:lvlJc w:val="left"/>
      <w:pPr>
        <w:tabs>
          <w:tab w:val="num" w:pos="1290"/>
        </w:tabs>
        <w:ind w:left="1290" w:hanging="390"/>
      </w:pPr>
      <w:rPr>
        <w:rFonts w:hint="default"/>
      </w:rPr>
    </w:lvl>
  </w:abstractNum>
  <w:abstractNum w:abstractNumId="1" w15:restartNumberingAfterBreak="0">
    <w:nsid w:val="19354AE9"/>
    <w:multiLevelType w:val="hybridMultilevel"/>
    <w:tmpl w:val="273C7C76"/>
    <w:lvl w:ilvl="0" w:tplc="A638618A">
      <w:start w:val="1"/>
      <w:numFmt w:val="decimal"/>
      <w:lvlText w:val="%1."/>
      <w:lvlJc w:val="left"/>
      <w:pPr>
        <w:tabs>
          <w:tab w:val="num" w:pos="720"/>
        </w:tabs>
        <w:ind w:left="720" w:hanging="360"/>
      </w:pPr>
      <w:rPr>
        <w:rFonts w:hint="default"/>
      </w:rPr>
    </w:lvl>
    <w:lvl w:ilvl="1" w:tplc="59AC717C">
      <w:start w:val="6"/>
      <w:numFmt w:val="bullet"/>
      <w:lvlText w:val="-"/>
      <w:lvlJc w:val="left"/>
      <w:pPr>
        <w:tabs>
          <w:tab w:val="num" w:pos="1440"/>
        </w:tabs>
        <w:ind w:left="1440" w:hanging="360"/>
      </w:pPr>
      <w:rPr>
        <w:rFonts w:ascii="Times New Roman" w:eastAsia="Times New Roman" w:hAnsi="Times New Roman" w:cs="Times New Roman" w:hint="default"/>
      </w:rPr>
    </w:lvl>
    <w:lvl w:ilvl="2" w:tplc="1F80CF66" w:tentative="1">
      <w:start w:val="1"/>
      <w:numFmt w:val="lowerRoman"/>
      <w:lvlText w:val="%3."/>
      <w:lvlJc w:val="right"/>
      <w:pPr>
        <w:tabs>
          <w:tab w:val="num" w:pos="2160"/>
        </w:tabs>
        <w:ind w:left="2160" w:hanging="180"/>
      </w:pPr>
    </w:lvl>
    <w:lvl w:ilvl="3" w:tplc="2B2A2D72" w:tentative="1">
      <w:start w:val="1"/>
      <w:numFmt w:val="decimal"/>
      <w:lvlText w:val="%4."/>
      <w:lvlJc w:val="left"/>
      <w:pPr>
        <w:tabs>
          <w:tab w:val="num" w:pos="2880"/>
        </w:tabs>
        <w:ind w:left="2880" w:hanging="360"/>
      </w:pPr>
    </w:lvl>
    <w:lvl w:ilvl="4" w:tplc="CB062480" w:tentative="1">
      <w:start w:val="1"/>
      <w:numFmt w:val="lowerLetter"/>
      <w:lvlText w:val="%5."/>
      <w:lvlJc w:val="left"/>
      <w:pPr>
        <w:tabs>
          <w:tab w:val="num" w:pos="3600"/>
        </w:tabs>
        <w:ind w:left="3600" w:hanging="360"/>
      </w:pPr>
    </w:lvl>
    <w:lvl w:ilvl="5" w:tplc="980A310E" w:tentative="1">
      <w:start w:val="1"/>
      <w:numFmt w:val="lowerRoman"/>
      <w:lvlText w:val="%6."/>
      <w:lvlJc w:val="right"/>
      <w:pPr>
        <w:tabs>
          <w:tab w:val="num" w:pos="4320"/>
        </w:tabs>
        <w:ind w:left="4320" w:hanging="180"/>
      </w:pPr>
    </w:lvl>
    <w:lvl w:ilvl="6" w:tplc="349A7402" w:tentative="1">
      <w:start w:val="1"/>
      <w:numFmt w:val="decimal"/>
      <w:lvlText w:val="%7."/>
      <w:lvlJc w:val="left"/>
      <w:pPr>
        <w:tabs>
          <w:tab w:val="num" w:pos="5040"/>
        </w:tabs>
        <w:ind w:left="5040" w:hanging="360"/>
      </w:pPr>
    </w:lvl>
    <w:lvl w:ilvl="7" w:tplc="DAE2C510" w:tentative="1">
      <w:start w:val="1"/>
      <w:numFmt w:val="lowerLetter"/>
      <w:lvlText w:val="%8."/>
      <w:lvlJc w:val="left"/>
      <w:pPr>
        <w:tabs>
          <w:tab w:val="num" w:pos="5760"/>
        </w:tabs>
        <w:ind w:left="5760" w:hanging="360"/>
      </w:pPr>
    </w:lvl>
    <w:lvl w:ilvl="8" w:tplc="A5E8590A" w:tentative="1">
      <w:start w:val="1"/>
      <w:numFmt w:val="lowerRoman"/>
      <w:lvlText w:val="%9."/>
      <w:lvlJc w:val="right"/>
      <w:pPr>
        <w:tabs>
          <w:tab w:val="num" w:pos="6480"/>
        </w:tabs>
        <w:ind w:left="6480" w:hanging="180"/>
      </w:pPr>
    </w:lvl>
  </w:abstractNum>
  <w:abstractNum w:abstractNumId="2" w15:restartNumberingAfterBreak="0">
    <w:nsid w:val="3C3C0557"/>
    <w:multiLevelType w:val="singleLevel"/>
    <w:tmpl w:val="F1025EE4"/>
    <w:lvl w:ilvl="0">
      <w:start w:val="50"/>
      <w:numFmt w:val="decimal"/>
      <w:lvlText w:val="%1"/>
      <w:lvlJc w:val="left"/>
      <w:pPr>
        <w:tabs>
          <w:tab w:val="num" w:pos="1260"/>
        </w:tabs>
        <w:ind w:left="1260" w:hanging="360"/>
      </w:pPr>
      <w:rPr>
        <w:rFonts w:hint="default"/>
      </w:rPr>
    </w:lvl>
  </w:abstractNum>
  <w:abstractNum w:abstractNumId="3" w15:restartNumberingAfterBreak="0">
    <w:nsid w:val="3F491792"/>
    <w:multiLevelType w:val="hybridMultilevel"/>
    <w:tmpl w:val="77FC5ED0"/>
    <w:lvl w:ilvl="0" w:tplc="28F0DC44">
      <w:start w:val="1"/>
      <w:numFmt w:val="decimal"/>
      <w:lvlText w:val="%1."/>
      <w:lvlJc w:val="left"/>
      <w:pPr>
        <w:tabs>
          <w:tab w:val="num" w:pos="720"/>
        </w:tabs>
        <w:ind w:left="720" w:hanging="360"/>
      </w:pPr>
      <w:rPr>
        <w:rFonts w:hint="default"/>
      </w:rPr>
    </w:lvl>
    <w:lvl w:ilvl="1" w:tplc="A7225770" w:tentative="1">
      <w:start w:val="1"/>
      <w:numFmt w:val="lowerLetter"/>
      <w:lvlText w:val="%2."/>
      <w:lvlJc w:val="left"/>
      <w:pPr>
        <w:tabs>
          <w:tab w:val="num" w:pos="1440"/>
        </w:tabs>
        <w:ind w:left="1440" w:hanging="360"/>
      </w:pPr>
    </w:lvl>
    <w:lvl w:ilvl="2" w:tplc="F83253B2" w:tentative="1">
      <w:start w:val="1"/>
      <w:numFmt w:val="lowerRoman"/>
      <w:lvlText w:val="%3."/>
      <w:lvlJc w:val="right"/>
      <w:pPr>
        <w:tabs>
          <w:tab w:val="num" w:pos="2160"/>
        </w:tabs>
        <w:ind w:left="2160" w:hanging="180"/>
      </w:pPr>
    </w:lvl>
    <w:lvl w:ilvl="3" w:tplc="6AB89BBE" w:tentative="1">
      <w:start w:val="1"/>
      <w:numFmt w:val="decimal"/>
      <w:lvlText w:val="%4."/>
      <w:lvlJc w:val="left"/>
      <w:pPr>
        <w:tabs>
          <w:tab w:val="num" w:pos="2880"/>
        </w:tabs>
        <w:ind w:left="2880" w:hanging="360"/>
      </w:pPr>
    </w:lvl>
    <w:lvl w:ilvl="4" w:tplc="6CDA5718" w:tentative="1">
      <w:start w:val="1"/>
      <w:numFmt w:val="lowerLetter"/>
      <w:lvlText w:val="%5."/>
      <w:lvlJc w:val="left"/>
      <w:pPr>
        <w:tabs>
          <w:tab w:val="num" w:pos="3600"/>
        </w:tabs>
        <w:ind w:left="3600" w:hanging="360"/>
      </w:pPr>
    </w:lvl>
    <w:lvl w:ilvl="5" w:tplc="A5BC9E52" w:tentative="1">
      <w:start w:val="1"/>
      <w:numFmt w:val="lowerRoman"/>
      <w:lvlText w:val="%6."/>
      <w:lvlJc w:val="right"/>
      <w:pPr>
        <w:tabs>
          <w:tab w:val="num" w:pos="4320"/>
        </w:tabs>
        <w:ind w:left="4320" w:hanging="180"/>
      </w:pPr>
    </w:lvl>
    <w:lvl w:ilvl="6" w:tplc="3416ADB8" w:tentative="1">
      <w:start w:val="1"/>
      <w:numFmt w:val="decimal"/>
      <w:lvlText w:val="%7."/>
      <w:lvlJc w:val="left"/>
      <w:pPr>
        <w:tabs>
          <w:tab w:val="num" w:pos="5040"/>
        </w:tabs>
        <w:ind w:left="5040" w:hanging="360"/>
      </w:pPr>
    </w:lvl>
    <w:lvl w:ilvl="7" w:tplc="EFC4B9C8" w:tentative="1">
      <w:start w:val="1"/>
      <w:numFmt w:val="lowerLetter"/>
      <w:lvlText w:val="%8."/>
      <w:lvlJc w:val="left"/>
      <w:pPr>
        <w:tabs>
          <w:tab w:val="num" w:pos="5760"/>
        </w:tabs>
        <w:ind w:left="5760" w:hanging="360"/>
      </w:pPr>
    </w:lvl>
    <w:lvl w:ilvl="8" w:tplc="CE6E092C" w:tentative="1">
      <w:start w:val="1"/>
      <w:numFmt w:val="lowerRoman"/>
      <w:lvlText w:val="%9."/>
      <w:lvlJc w:val="right"/>
      <w:pPr>
        <w:tabs>
          <w:tab w:val="num" w:pos="6480"/>
        </w:tabs>
        <w:ind w:left="6480" w:hanging="180"/>
      </w:pPr>
    </w:lvl>
  </w:abstractNum>
  <w:abstractNum w:abstractNumId="4" w15:restartNumberingAfterBreak="0">
    <w:nsid w:val="42090E89"/>
    <w:multiLevelType w:val="hybridMultilevel"/>
    <w:tmpl w:val="22A2EF02"/>
    <w:lvl w:ilvl="0" w:tplc="83B059F6">
      <w:start w:val="1"/>
      <w:numFmt w:val="decimal"/>
      <w:lvlText w:val="%1."/>
      <w:lvlJc w:val="left"/>
      <w:pPr>
        <w:tabs>
          <w:tab w:val="num" w:pos="720"/>
        </w:tabs>
        <w:ind w:left="720" w:hanging="360"/>
      </w:pPr>
      <w:rPr>
        <w:rFonts w:hint="default"/>
      </w:rPr>
    </w:lvl>
    <w:lvl w:ilvl="1" w:tplc="C82A7EAA" w:tentative="1">
      <w:start w:val="1"/>
      <w:numFmt w:val="lowerLetter"/>
      <w:lvlText w:val="%2."/>
      <w:lvlJc w:val="left"/>
      <w:pPr>
        <w:tabs>
          <w:tab w:val="num" w:pos="1440"/>
        </w:tabs>
        <w:ind w:left="1440" w:hanging="360"/>
      </w:pPr>
    </w:lvl>
    <w:lvl w:ilvl="2" w:tplc="D400983E" w:tentative="1">
      <w:start w:val="1"/>
      <w:numFmt w:val="lowerRoman"/>
      <w:lvlText w:val="%3."/>
      <w:lvlJc w:val="right"/>
      <w:pPr>
        <w:tabs>
          <w:tab w:val="num" w:pos="2160"/>
        </w:tabs>
        <w:ind w:left="2160" w:hanging="180"/>
      </w:pPr>
    </w:lvl>
    <w:lvl w:ilvl="3" w:tplc="18A274F8" w:tentative="1">
      <w:start w:val="1"/>
      <w:numFmt w:val="decimal"/>
      <w:lvlText w:val="%4."/>
      <w:lvlJc w:val="left"/>
      <w:pPr>
        <w:tabs>
          <w:tab w:val="num" w:pos="2880"/>
        </w:tabs>
        <w:ind w:left="2880" w:hanging="360"/>
      </w:pPr>
    </w:lvl>
    <w:lvl w:ilvl="4" w:tplc="DDAA5294" w:tentative="1">
      <w:start w:val="1"/>
      <w:numFmt w:val="lowerLetter"/>
      <w:lvlText w:val="%5."/>
      <w:lvlJc w:val="left"/>
      <w:pPr>
        <w:tabs>
          <w:tab w:val="num" w:pos="3600"/>
        </w:tabs>
        <w:ind w:left="3600" w:hanging="360"/>
      </w:pPr>
    </w:lvl>
    <w:lvl w:ilvl="5" w:tplc="7A4AD3D6" w:tentative="1">
      <w:start w:val="1"/>
      <w:numFmt w:val="lowerRoman"/>
      <w:lvlText w:val="%6."/>
      <w:lvlJc w:val="right"/>
      <w:pPr>
        <w:tabs>
          <w:tab w:val="num" w:pos="4320"/>
        </w:tabs>
        <w:ind w:left="4320" w:hanging="180"/>
      </w:pPr>
    </w:lvl>
    <w:lvl w:ilvl="6" w:tplc="74264F78" w:tentative="1">
      <w:start w:val="1"/>
      <w:numFmt w:val="decimal"/>
      <w:lvlText w:val="%7."/>
      <w:lvlJc w:val="left"/>
      <w:pPr>
        <w:tabs>
          <w:tab w:val="num" w:pos="5040"/>
        </w:tabs>
        <w:ind w:left="5040" w:hanging="360"/>
      </w:pPr>
    </w:lvl>
    <w:lvl w:ilvl="7" w:tplc="3F980968" w:tentative="1">
      <w:start w:val="1"/>
      <w:numFmt w:val="lowerLetter"/>
      <w:lvlText w:val="%8."/>
      <w:lvlJc w:val="left"/>
      <w:pPr>
        <w:tabs>
          <w:tab w:val="num" w:pos="5760"/>
        </w:tabs>
        <w:ind w:left="5760" w:hanging="360"/>
      </w:pPr>
    </w:lvl>
    <w:lvl w:ilvl="8" w:tplc="22C40854" w:tentative="1">
      <w:start w:val="1"/>
      <w:numFmt w:val="lowerRoman"/>
      <w:lvlText w:val="%9."/>
      <w:lvlJc w:val="right"/>
      <w:pPr>
        <w:tabs>
          <w:tab w:val="num" w:pos="6480"/>
        </w:tabs>
        <w:ind w:left="6480" w:hanging="180"/>
      </w:pPr>
    </w:lvl>
  </w:abstractNum>
  <w:abstractNum w:abstractNumId="5" w15:restartNumberingAfterBreak="0">
    <w:nsid w:val="49E34844"/>
    <w:multiLevelType w:val="hybridMultilevel"/>
    <w:tmpl w:val="DBEEF66E"/>
    <w:lvl w:ilvl="0" w:tplc="09AC6756">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4F192BAE"/>
    <w:multiLevelType w:val="singleLevel"/>
    <w:tmpl w:val="85E08014"/>
    <w:lvl w:ilvl="0">
      <w:start w:val="74"/>
      <w:numFmt w:val="decimal"/>
      <w:lvlText w:val="%1"/>
      <w:lvlJc w:val="left"/>
      <w:pPr>
        <w:tabs>
          <w:tab w:val="num" w:pos="360"/>
        </w:tabs>
        <w:ind w:left="360" w:hanging="360"/>
      </w:pPr>
      <w:rPr>
        <w:rFonts w:hint="default"/>
      </w:rPr>
    </w:lvl>
  </w:abstractNum>
  <w:abstractNum w:abstractNumId="7" w15:restartNumberingAfterBreak="0">
    <w:nsid w:val="5C086813"/>
    <w:multiLevelType w:val="hybridMultilevel"/>
    <w:tmpl w:val="809C5134"/>
    <w:lvl w:ilvl="0" w:tplc="0A90AD0C">
      <w:start w:val="1"/>
      <w:numFmt w:val="decimal"/>
      <w:lvlText w:val="%1."/>
      <w:lvlJc w:val="left"/>
      <w:pPr>
        <w:tabs>
          <w:tab w:val="num" w:pos="720"/>
        </w:tabs>
        <w:ind w:left="720" w:hanging="360"/>
      </w:pPr>
      <w:rPr>
        <w:rFonts w:hint="default"/>
      </w:rPr>
    </w:lvl>
    <w:lvl w:ilvl="1" w:tplc="43F21C0E" w:tentative="1">
      <w:start w:val="1"/>
      <w:numFmt w:val="lowerLetter"/>
      <w:lvlText w:val="%2."/>
      <w:lvlJc w:val="left"/>
      <w:pPr>
        <w:tabs>
          <w:tab w:val="num" w:pos="1440"/>
        </w:tabs>
        <w:ind w:left="1440" w:hanging="360"/>
      </w:pPr>
    </w:lvl>
    <w:lvl w:ilvl="2" w:tplc="9EBC2888" w:tentative="1">
      <w:start w:val="1"/>
      <w:numFmt w:val="lowerRoman"/>
      <w:lvlText w:val="%3."/>
      <w:lvlJc w:val="right"/>
      <w:pPr>
        <w:tabs>
          <w:tab w:val="num" w:pos="2160"/>
        </w:tabs>
        <w:ind w:left="2160" w:hanging="180"/>
      </w:pPr>
    </w:lvl>
    <w:lvl w:ilvl="3" w:tplc="66345DA2" w:tentative="1">
      <w:start w:val="1"/>
      <w:numFmt w:val="decimal"/>
      <w:lvlText w:val="%4."/>
      <w:lvlJc w:val="left"/>
      <w:pPr>
        <w:tabs>
          <w:tab w:val="num" w:pos="2880"/>
        </w:tabs>
        <w:ind w:left="2880" w:hanging="360"/>
      </w:pPr>
    </w:lvl>
    <w:lvl w:ilvl="4" w:tplc="844031F0" w:tentative="1">
      <w:start w:val="1"/>
      <w:numFmt w:val="lowerLetter"/>
      <w:lvlText w:val="%5."/>
      <w:lvlJc w:val="left"/>
      <w:pPr>
        <w:tabs>
          <w:tab w:val="num" w:pos="3600"/>
        </w:tabs>
        <w:ind w:left="3600" w:hanging="360"/>
      </w:pPr>
    </w:lvl>
    <w:lvl w:ilvl="5" w:tplc="0CF8F5A8" w:tentative="1">
      <w:start w:val="1"/>
      <w:numFmt w:val="lowerRoman"/>
      <w:lvlText w:val="%6."/>
      <w:lvlJc w:val="right"/>
      <w:pPr>
        <w:tabs>
          <w:tab w:val="num" w:pos="4320"/>
        </w:tabs>
        <w:ind w:left="4320" w:hanging="180"/>
      </w:pPr>
    </w:lvl>
    <w:lvl w:ilvl="6" w:tplc="D48C82B4" w:tentative="1">
      <w:start w:val="1"/>
      <w:numFmt w:val="decimal"/>
      <w:lvlText w:val="%7."/>
      <w:lvlJc w:val="left"/>
      <w:pPr>
        <w:tabs>
          <w:tab w:val="num" w:pos="5040"/>
        </w:tabs>
        <w:ind w:left="5040" w:hanging="360"/>
      </w:pPr>
    </w:lvl>
    <w:lvl w:ilvl="7" w:tplc="CABC27D0" w:tentative="1">
      <w:start w:val="1"/>
      <w:numFmt w:val="lowerLetter"/>
      <w:lvlText w:val="%8."/>
      <w:lvlJc w:val="left"/>
      <w:pPr>
        <w:tabs>
          <w:tab w:val="num" w:pos="5760"/>
        </w:tabs>
        <w:ind w:left="5760" w:hanging="360"/>
      </w:pPr>
    </w:lvl>
    <w:lvl w:ilvl="8" w:tplc="C9181DB2" w:tentative="1">
      <w:start w:val="1"/>
      <w:numFmt w:val="lowerRoman"/>
      <w:lvlText w:val="%9."/>
      <w:lvlJc w:val="right"/>
      <w:pPr>
        <w:tabs>
          <w:tab w:val="num" w:pos="6480"/>
        </w:tabs>
        <w:ind w:left="6480" w:hanging="180"/>
      </w:pPr>
    </w:lvl>
  </w:abstractNum>
  <w:abstractNum w:abstractNumId="8" w15:restartNumberingAfterBreak="0">
    <w:nsid w:val="64777A62"/>
    <w:multiLevelType w:val="singleLevel"/>
    <w:tmpl w:val="874A8D8E"/>
    <w:lvl w:ilvl="0">
      <w:start w:val="70"/>
      <w:numFmt w:val="decimal"/>
      <w:lvlText w:val="%1"/>
      <w:lvlJc w:val="left"/>
      <w:pPr>
        <w:tabs>
          <w:tab w:val="num" w:pos="1260"/>
        </w:tabs>
        <w:ind w:left="1260" w:hanging="360"/>
      </w:pPr>
      <w:rPr>
        <w:rFonts w:hint="default"/>
      </w:rPr>
    </w:lvl>
  </w:abstractNum>
  <w:abstractNum w:abstractNumId="9" w15:restartNumberingAfterBreak="0">
    <w:nsid w:val="6D07057A"/>
    <w:multiLevelType w:val="singleLevel"/>
    <w:tmpl w:val="AF96B250"/>
    <w:lvl w:ilvl="0">
      <w:start w:val="55"/>
      <w:numFmt w:val="decimal"/>
      <w:lvlText w:val="%1"/>
      <w:lvlJc w:val="left"/>
      <w:pPr>
        <w:tabs>
          <w:tab w:val="num" w:pos="1260"/>
        </w:tabs>
        <w:ind w:left="1260" w:hanging="360"/>
      </w:pPr>
      <w:rPr>
        <w:rFonts w:hint="default"/>
      </w:rPr>
    </w:lvl>
  </w:abstractNum>
  <w:abstractNum w:abstractNumId="10" w15:restartNumberingAfterBreak="0">
    <w:nsid w:val="6EFE56AF"/>
    <w:multiLevelType w:val="singleLevel"/>
    <w:tmpl w:val="85E08014"/>
    <w:lvl w:ilvl="0">
      <w:start w:val="70"/>
      <w:numFmt w:val="decimal"/>
      <w:lvlText w:val="%1"/>
      <w:lvlJc w:val="left"/>
      <w:pPr>
        <w:tabs>
          <w:tab w:val="num" w:pos="360"/>
        </w:tabs>
        <w:ind w:left="360" w:hanging="360"/>
      </w:pPr>
      <w:rPr>
        <w:rFonts w:hint="default"/>
      </w:rPr>
    </w:lvl>
  </w:abstractNum>
  <w:abstractNum w:abstractNumId="11" w15:restartNumberingAfterBreak="0">
    <w:nsid w:val="73E438DA"/>
    <w:multiLevelType w:val="hybridMultilevel"/>
    <w:tmpl w:val="1242C0BC"/>
    <w:lvl w:ilvl="0" w:tplc="788AD55E">
      <w:start w:val="1"/>
      <w:numFmt w:val="decimal"/>
      <w:lvlText w:val="%1."/>
      <w:lvlJc w:val="left"/>
      <w:pPr>
        <w:tabs>
          <w:tab w:val="num" w:pos="720"/>
        </w:tabs>
        <w:ind w:left="720" w:hanging="360"/>
      </w:pPr>
      <w:rPr>
        <w:rFonts w:hint="default"/>
      </w:rPr>
    </w:lvl>
    <w:lvl w:ilvl="1" w:tplc="2ED4E63A" w:tentative="1">
      <w:start w:val="1"/>
      <w:numFmt w:val="lowerLetter"/>
      <w:lvlText w:val="%2."/>
      <w:lvlJc w:val="left"/>
      <w:pPr>
        <w:tabs>
          <w:tab w:val="num" w:pos="1440"/>
        </w:tabs>
        <w:ind w:left="1440" w:hanging="360"/>
      </w:pPr>
    </w:lvl>
    <w:lvl w:ilvl="2" w:tplc="C6787388" w:tentative="1">
      <w:start w:val="1"/>
      <w:numFmt w:val="lowerRoman"/>
      <w:lvlText w:val="%3."/>
      <w:lvlJc w:val="right"/>
      <w:pPr>
        <w:tabs>
          <w:tab w:val="num" w:pos="2160"/>
        </w:tabs>
        <w:ind w:left="2160" w:hanging="180"/>
      </w:pPr>
    </w:lvl>
    <w:lvl w:ilvl="3" w:tplc="9992EF86" w:tentative="1">
      <w:start w:val="1"/>
      <w:numFmt w:val="decimal"/>
      <w:lvlText w:val="%4."/>
      <w:lvlJc w:val="left"/>
      <w:pPr>
        <w:tabs>
          <w:tab w:val="num" w:pos="2880"/>
        </w:tabs>
        <w:ind w:left="2880" w:hanging="360"/>
      </w:pPr>
    </w:lvl>
    <w:lvl w:ilvl="4" w:tplc="8CD0A97C" w:tentative="1">
      <w:start w:val="1"/>
      <w:numFmt w:val="lowerLetter"/>
      <w:lvlText w:val="%5."/>
      <w:lvlJc w:val="left"/>
      <w:pPr>
        <w:tabs>
          <w:tab w:val="num" w:pos="3600"/>
        </w:tabs>
        <w:ind w:left="3600" w:hanging="360"/>
      </w:pPr>
    </w:lvl>
    <w:lvl w:ilvl="5" w:tplc="7A5EE992" w:tentative="1">
      <w:start w:val="1"/>
      <w:numFmt w:val="lowerRoman"/>
      <w:lvlText w:val="%6."/>
      <w:lvlJc w:val="right"/>
      <w:pPr>
        <w:tabs>
          <w:tab w:val="num" w:pos="4320"/>
        </w:tabs>
        <w:ind w:left="4320" w:hanging="180"/>
      </w:pPr>
    </w:lvl>
    <w:lvl w:ilvl="6" w:tplc="0F9AF004" w:tentative="1">
      <w:start w:val="1"/>
      <w:numFmt w:val="decimal"/>
      <w:lvlText w:val="%7."/>
      <w:lvlJc w:val="left"/>
      <w:pPr>
        <w:tabs>
          <w:tab w:val="num" w:pos="5040"/>
        </w:tabs>
        <w:ind w:left="5040" w:hanging="360"/>
      </w:pPr>
    </w:lvl>
    <w:lvl w:ilvl="7" w:tplc="752EC7CA" w:tentative="1">
      <w:start w:val="1"/>
      <w:numFmt w:val="lowerLetter"/>
      <w:lvlText w:val="%8."/>
      <w:lvlJc w:val="left"/>
      <w:pPr>
        <w:tabs>
          <w:tab w:val="num" w:pos="5760"/>
        </w:tabs>
        <w:ind w:left="5760" w:hanging="360"/>
      </w:pPr>
    </w:lvl>
    <w:lvl w:ilvl="8" w:tplc="461C0564" w:tentative="1">
      <w:start w:val="1"/>
      <w:numFmt w:val="lowerRoman"/>
      <w:lvlText w:val="%9."/>
      <w:lvlJc w:val="right"/>
      <w:pPr>
        <w:tabs>
          <w:tab w:val="num" w:pos="6480"/>
        </w:tabs>
        <w:ind w:left="6480" w:hanging="180"/>
      </w:pPr>
    </w:lvl>
  </w:abstractNum>
  <w:abstractNum w:abstractNumId="12" w15:restartNumberingAfterBreak="0">
    <w:nsid w:val="75DC570A"/>
    <w:multiLevelType w:val="singleLevel"/>
    <w:tmpl w:val="B11299D8"/>
    <w:lvl w:ilvl="0">
      <w:start w:val="44"/>
      <w:numFmt w:val="decimal"/>
      <w:lvlText w:val="%1"/>
      <w:lvlJc w:val="left"/>
      <w:pPr>
        <w:tabs>
          <w:tab w:val="num" w:pos="1260"/>
        </w:tabs>
        <w:ind w:left="1260" w:hanging="360"/>
      </w:pPr>
      <w:rPr>
        <w:rFonts w:hint="default"/>
      </w:rPr>
    </w:lvl>
  </w:abstractNum>
  <w:abstractNum w:abstractNumId="13" w15:restartNumberingAfterBreak="0">
    <w:nsid w:val="78077489"/>
    <w:multiLevelType w:val="singleLevel"/>
    <w:tmpl w:val="36E2F21E"/>
    <w:lvl w:ilvl="0">
      <w:start w:val="1"/>
      <w:numFmt w:val="upperLetter"/>
      <w:pStyle w:val="Naslov2"/>
      <w:lvlText w:val="%1."/>
      <w:lvlJc w:val="left"/>
      <w:pPr>
        <w:tabs>
          <w:tab w:val="num" w:pos="360"/>
        </w:tabs>
        <w:ind w:left="360" w:hanging="360"/>
      </w:pPr>
      <w:rPr>
        <w:rFonts w:hint="default"/>
      </w:rPr>
    </w:lvl>
  </w:abstractNum>
  <w:abstractNum w:abstractNumId="14" w15:restartNumberingAfterBreak="0">
    <w:nsid w:val="7A6C61DD"/>
    <w:multiLevelType w:val="singleLevel"/>
    <w:tmpl w:val="55E233F0"/>
    <w:lvl w:ilvl="0">
      <w:start w:val="75"/>
      <w:numFmt w:val="decimal"/>
      <w:lvlText w:val="%1"/>
      <w:lvlJc w:val="left"/>
      <w:pPr>
        <w:tabs>
          <w:tab w:val="num" w:pos="1260"/>
        </w:tabs>
        <w:ind w:left="1260" w:hanging="360"/>
      </w:pPr>
      <w:rPr>
        <w:rFonts w:hint="default"/>
      </w:rPr>
    </w:lvl>
  </w:abstractNum>
  <w:num w:numId="1" w16cid:durableId="610166279">
    <w:abstractNumId w:val="1"/>
  </w:num>
  <w:num w:numId="2" w16cid:durableId="535048104">
    <w:abstractNumId w:val="3"/>
  </w:num>
  <w:num w:numId="3" w16cid:durableId="1111703845">
    <w:abstractNumId w:val="7"/>
  </w:num>
  <w:num w:numId="4" w16cid:durableId="281888254">
    <w:abstractNumId w:val="11"/>
  </w:num>
  <w:num w:numId="5" w16cid:durableId="213783202">
    <w:abstractNumId w:val="4"/>
  </w:num>
  <w:num w:numId="6" w16cid:durableId="916785680">
    <w:abstractNumId w:val="13"/>
  </w:num>
  <w:num w:numId="7" w16cid:durableId="258298743">
    <w:abstractNumId w:val="10"/>
  </w:num>
  <w:num w:numId="8" w16cid:durableId="372119625">
    <w:abstractNumId w:val="6"/>
  </w:num>
  <w:num w:numId="9" w16cid:durableId="1521506620">
    <w:abstractNumId w:val="8"/>
  </w:num>
  <w:num w:numId="10" w16cid:durableId="876433602">
    <w:abstractNumId w:val="0"/>
  </w:num>
  <w:num w:numId="11" w16cid:durableId="939210">
    <w:abstractNumId w:val="14"/>
  </w:num>
  <w:num w:numId="12" w16cid:durableId="1638222612">
    <w:abstractNumId w:val="12"/>
  </w:num>
  <w:num w:numId="13" w16cid:durableId="899050190">
    <w:abstractNumId w:val="2"/>
  </w:num>
  <w:num w:numId="14" w16cid:durableId="1446928233">
    <w:abstractNumId w:val="9"/>
  </w:num>
  <w:num w:numId="15" w16cid:durableId="11738342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33B"/>
    <w:rsid w:val="00011E4B"/>
    <w:rsid w:val="0003338D"/>
    <w:rsid w:val="0004249F"/>
    <w:rsid w:val="00062E62"/>
    <w:rsid w:val="000E609B"/>
    <w:rsid w:val="000F1868"/>
    <w:rsid w:val="000F3DFA"/>
    <w:rsid w:val="001013CE"/>
    <w:rsid w:val="001205FD"/>
    <w:rsid w:val="001207E9"/>
    <w:rsid w:val="001411D9"/>
    <w:rsid w:val="001431A3"/>
    <w:rsid w:val="00156929"/>
    <w:rsid w:val="00157DAC"/>
    <w:rsid w:val="00171CC6"/>
    <w:rsid w:val="00177ECE"/>
    <w:rsid w:val="0018365B"/>
    <w:rsid w:val="001862D0"/>
    <w:rsid w:val="0019137B"/>
    <w:rsid w:val="001917CE"/>
    <w:rsid w:val="001A785A"/>
    <w:rsid w:val="001C3C8D"/>
    <w:rsid w:val="001E12CE"/>
    <w:rsid w:val="001F2D9E"/>
    <w:rsid w:val="001F4052"/>
    <w:rsid w:val="00232075"/>
    <w:rsid w:val="00244BEB"/>
    <w:rsid w:val="002502DB"/>
    <w:rsid w:val="00251F67"/>
    <w:rsid w:val="0025299D"/>
    <w:rsid w:val="0025527B"/>
    <w:rsid w:val="002577E3"/>
    <w:rsid w:val="00260042"/>
    <w:rsid w:val="00263498"/>
    <w:rsid w:val="00263A0E"/>
    <w:rsid w:val="002711E9"/>
    <w:rsid w:val="00273734"/>
    <w:rsid w:val="00291FBD"/>
    <w:rsid w:val="002C07A2"/>
    <w:rsid w:val="002C4B51"/>
    <w:rsid w:val="002C4CFF"/>
    <w:rsid w:val="002C5BA6"/>
    <w:rsid w:val="002E0680"/>
    <w:rsid w:val="002E4192"/>
    <w:rsid w:val="002E4A07"/>
    <w:rsid w:val="002F10A0"/>
    <w:rsid w:val="003343D6"/>
    <w:rsid w:val="00346065"/>
    <w:rsid w:val="00353D3F"/>
    <w:rsid w:val="00354E16"/>
    <w:rsid w:val="00363127"/>
    <w:rsid w:val="00364E21"/>
    <w:rsid w:val="00371FF5"/>
    <w:rsid w:val="003B40FF"/>
    <w:rsid w:val="003F4B83"/>
    <w:rsid w:val="004016AE"/>
    <w:rsid w:val="004041FB"/>
    <w:rsid w:val="00420678"/>
    <w:rsid w:val="0045004C"/>
    <w:rsid w:val="00496629"/>
    <w:rsid w:val="004A333B"/>
    <w:rsid w:val="004B2A39"/>
    <w:rsid w:val="004D038F"/>
    <w:rsid w:val="004D0947"/>
    <w:rsid w:val="004E5235"/>
    <w:rsid w:val="004F2052"/>
    <w:rsid w:val="00505388"/>
    <w:rsid w:val="00511D71"/>
    <w:rsid w:val="00516460"/>
    <w:rsid w:val="005227F4"/>
    <w:rsid w:val="00523A2F"/>
    <w:rsid w:val="00527386"/>
    <w:rsid w:val="00533334"/>
    <w:rsid w:val="00543F0D"/>
    <w:rsid w:val="00551CFE"/>
    <w:rsid w:val="00552FBC"/>
    <w:rsid w:val="00564A4E"/>
    <w:rsid w:val="005805AF"/>
    <w:rsid w:val="00582F53"/>
    <w:rsid w:val="005909EE"/>
    <w:rsid w:val="00594566"/>
    <w:rsid w:val="005A6B92"/>
    <w:rsid w:val="005E3DAA"/>
    <w:rsid w:val="005E6A84"/>
    <w:rsid w:val="005F2C4F"/>
    <w:rsid w:val="00606FA8"/>
    <w:rsid w:val="00636484"/>
    <w:rsid w:val="00664970"/>
    <w:rsid w:val="00664F9F"/>
    <w:rsid w:val="006708D0"/>
    <w:rsid w:val="00682B9F"/>
    <w:rsid w:val="006831FE"/>
    <w:rsid w:val="00686EDD"/>
    <w:rsid w:val="006E11B5"/>
    <w:rsid w:val="006F28A0"/>
    <w:rsid w:val="006F4FF0"/>
    <w:rsid w:val="007003FB"/>
    <w:rsid w:val="0070065F"/>
    <w:rsid w:val="007261A7"/>
    <w:rsid w:val="00741AA7"/>
    <w:rsid w:val="00746438"/>
    <w:rsid w:val="007605CD"/>
    <w:rsid w:val="007618C2"/>
    <w:rsid w:val="0077029B"/>
    <w:rsid w:val="0077648A"/>
    <w:rsid w:val="00783BE9"/>
    <w:rsid w:val="007A16B1"/>
    <w:rsid w:val="007A2558"/>
    <w:rsid w:val="007E06F2"/>
    <w:rsid w:val="007E0C7D"/>
    <w:rsid w:val="007E166A"/>
    <w:rsid w:val="007E2C4C"/>
    <w:rsid w:val="00836CB9"/>
    <w:rsid w:val="0084078A"/>
    <w:rsid w:val="00867BE5"/>
    <w:rsid w:val="00870047"/>
    <w:rsid w:val="00877654"/>
    <w:rsid w:val="008A1D03"/>
    <w:rsid w:val="008A3E4B"/>
    <w:rsid w:val="008B4077"/>
    <w:rsid w:val="008B525C"/>
    <w:rsid w:val="008D30BE"/>
    <w:rsid w:val="008D3A0D"/>
    <w:rsid w:val="008E2EBD"/>
    <w:rsid w:val="008F07C1"/>
    <w:rsid w:val="00905D73"/>
    <w:rsid w:val="00943895"/>
    <w:rsid w:val="00943C6F"/>
    <w:rsid w:val="00944767"/>
    <w:rsid w:val="009472EE"/>
    <w:rsid w:val="00963C3B"/>
    <w:rsid w:val="0096587E"/>
    <w:rsid w:val="00977D7A"/>
    <w:rsid w:val="00981F24"/>
    <w:rsid w:val="00996DE8"/>
    <w:rsid w:val="009B0DC0"/>
    <w:rsid w:val="009B2785"/>
    <w:rsid w:val="009B302F"/>
    <w:rsid w:val="009B3F0A"/>
    <w:rsid w:val="009B5FB0"/>
    <w:rsid w:val="009B6B9E"/>
    <w:rsid w:val="009B6C59"/>
    <w:rsid w:val="009C561C"/>
    <w:rsid w:val="009D3F3A"/>
    <w:rsid w:val="009D4B75"/>
    <w:rsid w:val="009F1C74"/>
    <w:rsid w:val="009F4E67"/>
    <w:rsid w:val="00A05C02"/>
    <w:rsid w:val="00A263A1"/>
    <w:rsid w:val="00A26653"/>
    <w:rsid w:val="00A26AD0"/>
    <w:rsid w:val="00A54994"/>
    <w:rsid w:val="00A64546"/>
    <w:rsid w:val="00A70D45"/>
    <w:rsid w:val="00A7553D"/>
    <w:rsid w:val="00A759EE"/>
    <w:rsid w:val="00A95EE3"/>
    <w:rsid w:val="00AA21FB"/>
    <w:rsid w:val="00AA45C5"/>
    <w:rsid w:val="00AA58F0"/>
    <w:rsid w:val="00AC0903"/>
    <w:rsid w:val="00AC76A7"/>
    <w:rsid w:val="00AD34DE"/>
    <w:rsid w:val="00AF0D9F"/>
    <w:rsid w:val="00AF6D5B"/>
    <w:rsid w:val="00B26146"/>
    <w:rsid w:val="00B51CF0"/>
    <w:rsid w:val="00B554EF"/>
    <w:rsid w:val="00B642DD"/>
    <w:rsid w:val="00B745EE"/>
    <w:rsid w:val="00B74737"/>
    <w:rsid w:val="00B92399"/>
    <w:rsid w:val="00B9757E"/>
    <w:rsid w:val="00BA3457"/>
    <w:rsid w:val="00BC01CC"/>
    <w:rsid w:val="00BC5CA6"/>
    <w:rsid w:val="00BD09A5"/>
    <w:rsid w:val="00BE1C53"/>
    <w:rsid w:val="00C035F7"/>
    <w:rsid w:val="00C06620"/>
    <w:rsid w:val="00C0792E"/>
    <w:rsid w:val="00C5039B"/>
    <w:rsid w:val="00C55243"/>
    <w:rsid w:val="00C624F2"/>
    <w:rsid w:val="00C734F2"/>
    <w:rsid w:val="00C94F46"/>
    <w:rsid w:val="00CF19D2"/>
    <w:rsid w:val="00CF254D"/>
    <w:rsid w:val="00CF7867"/>
    <w:rsid w:val="00D069BC"/>
    <w:rsid w:val="00D07C06"/>
    <w:rsid w:val="00D13024"/>
    <w:rsid w:val="00D31101"/>
    <w:rsid w:val="00D55263"/>
    <w:rsid w:val="00D57A11"/>
    <w:rsid w:val="00D84C19"/>
    <w:rsid w:val="00D852C9"/>
    <w:rsid w:val="00D96698"/>
    <w:rsid w:val="00DA70C4"/>
    <w:rsid w:val="00DC0A17"/>
    <w:rsid w:val="00DC2A35"/>
    <w:rsid w:val="00DC55AE"/>
    <w:rsid w:val="00DD4C4A"/>
    <w:rsid w:val="00DF6F26"/>
    <w:rsid w:val="00E13328"/>
    <w:rsid w:val="00E13CA7"/>
    <w:rsid w:val="00E16D47"/>
    <w:rsid w:val="00E24172"/>
    <w:rsid w:val="00E3201A"/>
    <w:rsid w:val="00E3533E"/>
    <w:rsid w:val="00E37089"/>
    <w:rsid w:val="00E378D6"/>
    <w:rsid w:val="00E449AE"/>
    <w:rsid w:val="00E466A3"/>
    <w:rsid w:val="00E529BE"/>
    <w:rsid w:val="00E76178"/>
    <w:rsid w:val="00E779AA"/>
    <w:rsid w:val="00EA74E4"/>
    <w:rsid w:val="00EE162A"/>
    <w:rsid w:val="00EF3ADD"/>
    <w:rsid w:val="00F02153"/>
    <w:rsid w:val="00F05AA8"/>
    <w:rsid w:val="00F17D12"/>
    <w:rsid w:val="00F20BAF"/>
    <w:rsid w:val="00F25567"/>
    <w:rsid w:val="00F43FD2"/>
    <w:rsid w:val="00F54CD2"/>
    <w:rsid w:val="00F5702D"/>
    <w:rsid w:val="00F60856"/>
    <w:rsid w:val="00F656BC"/>
    <w:rsid w:val="00F666F9"/>
    <w:rsid w:val="00F67785"/>
    <w:rsid w:val="00F72F5D"/>
    <w:rsid w:val="00FC0569"/>
    <w:rsid w:val="00FC07CC"/>
    <w:rsid w:val="00FC3224"/>
    <w:rsid w:val="00FC4EBE"/>
    <w:rsid w:val="00FD1D2B"/>
    <w:rsid w:val="00FE127C"/>
    <w:rsid w:val="00FE2C63"/>
    <w:rsid w:val="00FF3D0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4911FA"/>
  <w15:docId w15:val="{60DC5EA7-8118-4769-B343-19BACD71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F4052"/>
    <w:rPr>
      <w:sz w:val="24"/>
      <w:szCs w:val="24"/>
    </w:rPr>
  </w:style>
  <w:style w:type="paragraph" w:styleId="Naslov1">
    <w:name w:val="heading 1"/>
    <w:basedOn w:val="Navaden"/>
    <w:next w:val="Navaden"/>
    <w:qFormat/>
    <w:rsid w:val="00F17D12"/>
    <w:pPr>
      <w:keepNext/>
      <w:jc w:val="both"/>
      <w:outlineLvl w:val="0"/>
    </w:pPr>
    <w:rPr>
      <w:sz w:val="16"/>
      <w:u w:val="single"/>
    </w:rPr>
  </w:style>
  <w:style w:type="paragraph" w:styleId="Naslov2">
    <w:name w:val="heading 2"/>
    <w:basedOn w:val="Navaden"/>
    <w:next w:val="Navaden"/>
    <w:qFormat/>
    <w:rsid w:val="00F17D12"/>
    <w:pPr>
      <w:keepNext/>
      <w:numPr>
        <w:numId w:val="6"/>
      </w:numPr>
      <w:pBdr>
        <w:bottom w:val="single" w:sz="6" w:space="1" w:color="auto"/>
      </w:pBdr>
      <w:jc w:val="both"/>
      <w:outlineLvl w:val="1"/>
    </w:pPr>
    <w:rPr>
      <w:b/>
      <w:sz w:val="20"/>
    </w:rPr>
  </w:style>
  <w:style w:type="paragraph" w:styleId="Naslov3">
    <w:name w:val="heading 3"/>
    <w:basedOn w:val="Navaden"/>
    <w:next w:val="Navaden"/>
    <w:qFormat/>
    <w:rsid w:val="00F17D12"/>
    <w:pPr>
      <w:keepNext/>
      <w:jc w:val="both"/>
      <w:outlineLvl w:val="2"/>
    </w:pPr>
    <w:rPr>
      <w:b/>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F17D12"/>
    <w:rPr>
      <w:rFonts w:ascii="Tahoma" w:hAnsi="Tahoma" w:cs="Tahoma"/>
      <w:sz w:val="16"/>
      <w:szCs w:val="16"/>
    </w:rPr>
  </w:style>
  <w:style w:type="table" w:styleId="Tabelamrea">
    <w:name w:val="Table Grid"/>
    <w:basedOn w:val="Navadnatabela"/>
    <w:rsid w:val="00E77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AA4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82206">
      <w:bodyDiv w:val="1"/>
      <w:marLeft w:val="0"/>
      <w:marRight w:val="0"/>
      <w:marTop w:val="0"/>
      <w:marBottom w:val="0"/>
      <w:divBdr>
        <w:top w:val="none" w:sz="0" w:space="0" w:color="auto"/>
        <w:left w:val="none" w:sz="0" w:space="0" w:color="auto"/>
        <w:bottom w:val="none" w:sz="0" w:space="0" w:color="auto"/>
        <w:right w:val="none" w:sz="0" w:space="0" w:color="auto"/>
      </w:divBdr>
    </w:div>
    <w:div w:id="108017507">
      <w:bodyDiv w:val="1"/>
      <w:marLeft w:val="0"/>
      <w:marRight w:val="0"/>
      <w:marTop w:val="0"/>
      <w:marBottom w:val="0"/>
      <w:divBdr>
        <w:top w:val="none" w:sz="0" w:space="0" w:color="auto"/>
        <w:left w:val="none" w:sz="0" w:space="0" w:color="auto"/>
        <w:bottom w:val="none" w:sz="0" w:space="0" w:color="auto"/>
        <w:right w:val="none" w:sz="0" w:space="0" w:color="auto"/>
      </w:divBdr>
    </w:div>
    <w:div w:id="118257324">
      <w:bodyDiv w:val="1"/>
      <w:marLeft w:val="0"/>
      <w:marRight w:val="0"/>
      <w:marTop w:val="0"/>
      <w:marBottom w:val="0"/>
      <w:divBdr>
        <w:top w:val="none" w:sz="0" w:space="0" w:color="auto"/>
        <w:left w:val="none" w:sz="0" w:space="0" w:color="auto"/>
        <w:bottom w:val="none" w:sz="0" w:space="0" w:color="auto"/>
        <w:right w:val="none" w:sz="0" w:space="0" w:color="auto"/>
      </w:divBdr>
    </w:div>
    <w:div w:id="121845637">
      <w:bodyDiv w:val="1"/>
      <w:marLeft w:val="0"/>
      <w:marRight w:val="0"/>
      <w:marTop w:val="0"/>
      <w:marBottom w:val="0"/>
      <w:divBdr>
        <w:top w:val="none" w:sz="0" w:space="0" w:color="auto"/>
        <w:left w:val="none" w:sz="0" w:space="0" w:color="auto"/>
        <w:bottom w:val="none" w:sz="0" w:space="0" w:color="auto"/>
        <w:right w:val="none" w:sz="0" w:space="0" w:color="auto"/>
      </w:divBdr>
    </w:div>
    <w:div w:id="154688859">
      <w:bodyDiv w:val="1"/>
      <w:marLeft w:val="0"/>
      <w:marRight w:val="0"/>
      <w:marTop w:val="0"/>
      <w:marBottom w:val="0"/>
      <w:divBdr>
        <w:top w:val="none" w:sz="0" w:space="0" w:color="auto"/>
        <w:left w:val="none" w:sz="0" w:space="0" w:color="auto"/>
        <w:bottom w:val="none" w:sz="0" w:space="0" w:color="auto"/>
        <w:right w:val="none" w:sz="0" w:space="0" w:color="auto"/>
      </w:divBdr>
    </w:div>
    <w:div w:id="174225393">
      <w:bodyDiv w:val="1"/>
      <w:marLeft w:val="0"/>
      <w:marRight w:val="0"/>
      <w:marTop w:val="0"/>
      <w:marBottom w:val="0"/>
      <w:divBdr>
        <w:top w:val="none" w:sz="0" w:space="0" w:color="auto"/>
        <w:left w:val="none" w:sz="0" w:space="0" w:color="auto"/>
        <w:bottom w:val="none" w:sz="0" w:space="0" w:color="auto"/>
        <w:right w:val="none" w:sz="0" w:space="0" w:color="auto"/>
      </w:divBdr>
    </w:div>
    <w:div w:id="178011111">
      <w:bodyDiv w:val="1"/>
      <w:marLeft w:val="0"/>
      <w:marRight w:val="0"/>
      <w:marTop w:val="0"/>
      <w:marBottom w:val="0"/>
      <w:divBdr>
        <w:top w:val="none" w:sz="0" w:space="0" w:color="auto"/>
        <w:left w:val="none" w:sz="0" w:space="0" w:color="auto"/>
        <w:bottom w:val="none" w:sz="0" w:space="0" w:color="auto"/>
        <w:right w:val="none" w:sz="0" w:space="0" w:color="auto"/>
      </w:divBdr>
    </w:div>
    <w:div w:id="214317197">
      <w:bodyDiv w:val="1"/>
      <w:marLeft w:val="0"/>
      <w:marRight w:val="0"/>
      <w:marTop w:val="0"/>
      <w:marBottom w:val="0"/>
      <w:divBdr>
        <w:top w:val="none" w:sz="0" w:space="0" w:color="auto"/>
        <w:left w:val="none" w:sz="0" w:space="0" w:color="auto"/>
        <w:bottom w:val="none" w:sz="0" w:space="0" w:color="auto"/>
        <w:right w:val="none" w:sz="0" w:space="0" w:color="auto"/>
      </w:divBdr>
    </w:div>
    <w:div w:id="333384300">
      <w:bodyDiv w:val="1"/>
      <w:marLeft w:val="0"/>
      <w:marRight w:val="0"/>
      <w:marTop w:val="0"/>
      <w:marBottom w:val="0"/>
      <w:divBdr>
        <w:top w:val="none" w:sz="0" w:space="0" w:color="auto"/>
        <w:left w:val="none" w:sz="0" w:space="0" w:color="auto"/>
        <w:bottom w:val="none" w:sz="0" w:space="0" w:color="auto"/>
        <w:right w:val="none" w:sz="0" w:space="0" w:color="auto"/>
      </w:divBdr>
    </w:div>
    <w:div w:id="342052287">
      <w:bodyDiv w:val="1"/>
      <w:marLeft w:val="0"/>
      <w:marRight w:val="0"/>
      <w:marTop w:val="0"/>
      <w:marBottom w:val="0"/>
      <w:divBdr>
        <w:top w:val="none" w:sz="0" w:space="0" w:color="auto"/>
        <w:left w:val="none" w:sz="0" w:space="0" w:color="auto"/>
        <w:bottom w:val="none" w:sz="0" w:space="0" w:color="auto"/>
        <w:right w:val="none" w:sz="0" w:space="0" w:color="auto"/>
      </w:divBdr>
    </w:div>
    <w:div w:id="348220910">
      <w:bodyDiv w:val="1"/>
      <w:marLeft w:val="0"/>
      <w:marRight w:val="0"/>
      <w:marTop w:val="0"/>
      <w:marBottom w:val="0"/>
      <w:divBdr>
        <w:top w:val="none" w:sz="0" w:space="0" w:color="auto"/>
        <w:left w:val="none" w:sz="0" w:space="0" w:color="auto"/>
        <w:bottom w:val="none" w:sz="0" w:space="0" w:color="auto"/>
        <w:right w:val="none" w:sz="0" w:space="0" w:color="auto"/>
      </w:divBdr>
    </w:div>
    <w:div w:id="372924165">
      <w:bodyDiv w:val="1"/>
      <w:marLeft w:val="0"/>
      <w:marRight w:val="0"/>
      <w:marTop w:val="0"/>
      <w:marBottom w:val="0"/>
      <w:divBdr>
        <w:top w:val="none" w:sz="0" w:space="0" w:color="auto"/>
        <w:left w:val="none" w:sz="0" w:space="0" w:color="auto"/>
        <w:bottom w:val="none" w:sz="0" w:space="0" w:color="auto"/>
        <w:right w:val="none" w:sz="0" w:space="0" w:color="auto"/>
      </w:divBdr>
    </w:div>
    <w:div w:id="671834916">
      <w:bodyDiv w:val="1"/>
      <w:marLeft w:val="0"/>
      <w:marRight w:val="0"/>
      <w:marTop w:val="0"/>
      <w:marBottom w:val="0"/>
      <w:divBdr>
        <w:top w:val="none" w:sz="0" w:space="0" w:color="auto"/>
        <w:left w:val="none" w:sz="0" w:space="0" w:color="auto"/>
        <w:bottom w:val="none" w:sz="0" w:space="0" w:color="auto"/>
        <w:right w:val="none" w:sz="0" w:space="0" w:color="auto"/>
      </w:divBdr>
    </w:div>
    <w:div w:id="696197289">
      <w:bodyDiv w:val="1"/>
      <w:marLeft w:val="0"/>
      <w:marRight w:val="0"/>
      <w:marTop w:val="0"/>
      <w:marBottom w:val="0"/>
      <w:divBdr>
        <w:top w:val="none" w:sz="0" w:space="0" w:color="auto"/>
        <w:left w:val="none" w:sz="0" w:space="0" w:color="auto"/>
        <w:bottom w:val="none" w:sz="0" w:space="0" w:color="auto"/>
        <w:right w:val="none" w:sz="0" w:space="0" w:color="auto"/>
      </w:divBdr>
    </w:div>
    <w:div w:id="785461756">
      <w:bodyDiv w:val="1"/>
      <w:marLeft w:val="0"/>
      <w:marRight w:val="0"/>
      <w:marTop w:val="0"/>
      <w:marBottom w:val="0"/>
      <w:divBdr>
        <w:top w:val="none" w:sz="0" w:space="0" w:color="auto"/>
        <w:left w:val="none" w:sz="0" w:space="0" w:color="auto"/>
        <w:bottom w:val="none" w:sz="0" w:space="0" w:color="auto"/>
        <w:right w:val="none" w:sz="0" w:space="0" w:color="auto"/>
      </w:divBdr>
    </w:div>
    <w:div w:id="804856963">
      <w:bodyDiv w:val="1"/>
      <w:marLeft w:val="0"/>
      <w:marRight w:val="0"/>
      <w:marTop w:val="0"/>
      <w:marBottom w:val="0"/>
      <w:divBdr>
        <w:top w:val="none" w:sz="0" w:space="0" w:color="auto"/>
        <w:left w:val="none" w:sz="0" w:space="0" w:color="auto"/>
        <w:bottom w:val="none" w:sz="0" w:space="0" w:color="auto"/>
        <w:right w:val="none" w:sz="0" w:space="0" w:color="auto"/>
      </w:divBdr>
    </w:div>
    <w:div w:id="822814761">
      <w:bodyDiv w:val="1"/>
      <w:marLeft w:val="0"/>
      <w:marRight w:val="0"/>
      <w:marTop w:val="0"/>
      <w:marBottom w:val="0"/>
      <w:divBdr>
        <w:top w:val="none" w:sz="0" w:space="0" w:color="auto"/>
        <w:left w:val="none" w:sz="0" w:space="0" w:color="auto"/>
        <w:bottom w:val="none" w:sz="0" w:space="0" w:color="auto"/>
        <w:right w:val="none" w:sz="0" w:space="0" w:color="auto"/>
      </w:divBdr>
    </w:div>
    <w:div w:id="847670171">
      <w:bodyDiv w:val="1"/>
      <w:marLeft w:val="0"/>
      <w:marRight w:val="0"/>
      <w:marTop w:val="0"/>
      <w:marBottom w:val="0"/>
      <w:divBdr>
        <w:top w:val="none" w:sz="0" w:space="0" w:color="auto"/>
        <w:left w:val="none" w:sz="0" w:space="0" w:color="auto"/>
        <w:bottom w:val="none" w:sz="0" w:space="0" w:color="auto"/>
        <w:right w:val="none" w:sz="0" w:space="0" w:color="auto"/>
      </w:divBdr>
    </w:div>
    <w:div w:id="915357267">
      <w:bodyDiv w:val="1"/>
      <w:marLeft w:val="0"/>
      <w:marRight w:val="0"/>
      <w:marTop w:val="0"/>
      <w:marBottom w:val="0"/>
      <w:divBdr>
        <w:top w:val="none" w:sz="0" w:space="0" w:color="auto"/>
        <w:left w:val="none" w:sz="0" w:space="0" w:color="auto"/>
        <w:bottom w:val="none" w:sz="0" w:space="0" w:color="auto"/>
        <w:right w:val="none" w:sz="0" w:space="0" w:color="auto"/>
      </w:divBdr>
    </w:div>
    <w:div w:id="1021473111">
      <w:bodyDiv w:val="1"/>
      <w:marLeft w:val="0"/>
      <w:marRight w:val="0"/>
      <w:marTop w:val="0"/>
      <w:marBottom w:val="0"/>
      <w:divBdr>
        <w:top w:val="none" w:sz="0" w:space="0" w:color="auto"/>
        <w:left w:val="none" w:sz="0" w:space="0" w:color="auto"/>
        <w:bottom w:val="none" w:sz="0" w:space="0" w:color="auto"/>
        <w:right w:val="none" w:sz="0" w:space="0" w:color="auto"/>
      </w:divBdr>
    </w:div>
    <w:div w:id="1026129174">
      <w:bodyDiv w:val="1"/>
      <w:marLeft w:val="0"/>
      <w:marRight w:val="0"/>
      <w:marTop w:val="0"/>
      <w:marBottom w:val="0"/>
      <w:divBdr>
        <w:top w:val="none" w:sz="0" w:space="0" w:color="auto"/>
        <w:left w:val="none" w:sz="0" w:space="0" w:color="auto"/>
        <w:bottom w:val="none" w:sz="0" w:space="0" w:color="auto"/>
        <w:right w:val="none" w:sz="0" w:space="0" w:color="auto"/>
      </w:divBdr>
    </w:div>
    <w:div w:id="1199197841">
      <w:bodyDiv w:val="1"/>
      <w:marLeft w:val="0"/>
      <w:marRight w:val="0"/>
      <w:marTop w:val="0"/>
      <w:marBottom w:val="0"/>
      <w:divBdr>
        <w:top w:val="none" w:sz="0" w:space="0" w:color="auto"/>
        <w:left w:val="none" w:sz="0" w:space="0" w:color="auto"/>
        <w:bottom w:val="none" w:sz="0" w:space="0" w:color="auto"/>
        <w:right w:val="none" w:sz="0" w:space="0" w:color="auto"/>
      </w:divBdr>
    </w:div>
    <w:div w:id="1217935366">
      <w:bodyDiv w:val="1"/>
      <w:marLeft w:val="0"/>
      <w:marRight w:val="0"/>
      <w:marTop w:val="0"/>
      <w:marBottom w:val="0"/>
      <w:divBdr>
        <w:top w:val="none" w:sz="0" w:space="0" w:color="auto"/>
        <w:left w:val="none" w:sz="0" w:space="0" w:color="auto"/>
        <w:bottom w:val="none" w:sz="0" w:space="0" w:color="auto"/>
        <w:right w:val="none" w:sz="0" w:space="0" w:color="auto"/>
      </w:divBdr>
    </w:div>
    <w:div w:id="1388794445">
      <w:bodyDiv w:val="1"/>
      <w:marLeft w:val="0"/>
      <w:marRight w:val="0"/>
      <w:marTop w:val="0"/>
      <w:marBottom w:val="0"/>
      <w:divBdr>
        <w:top w:val="none" w:sz="0" w:space="0" w:color="auto"/>
        <w:left w:val="none" w:sz="0" w:space="0" w:color="auto"/>
        <w:bottom w:val="none" w:sz="0" w:space="0" w:color="auto"/>
        <w:right w:val="none" w:sz="0" w:space="0" w:color="auto"/>
      </w:divBdr>
    </w:div>
    <w:div w:id="1433866002">
      <w:bodyDiv w:val="1"/>
      <w:marLeft w:val="0"/>
      <w:marRight w:val="0"/>
      <w:marTop w:val="0"/>
      <w:marBottom w:val="0"/>
      <w:divBdr>
        <w:top w:val="none" w:sz="0" w:space="0" w:color="auto"/>
        <w:left w:val="none" w:sz="0" w:space="0" w:color="auto"/>
        <w:bottom w:val="none" w:sz="0" w:space="0" w:color="auto"/>
        <w:right w:val="none" w:sz="0" w:space="0" w:color="auto"/>
      </w:divBdr>
    </w:div>
    <w:div w:id="1460415706">
      <w:bodyDiv w:val="1"/>
      <w:marLeft w:val="0"/>
      <w:marRight w:val="0"/>
      <w:marTop w:val="0"/>
      <w:marBottom w:val="0"/>
      <w:divBdr>
        <w:top w:val="none" w:sz="0" w:space="0" w:color="auto"/>
        <w:left w:val="none" w:sz="0" w:space="0" w:color="auto"/>
        <w:bottom w:val="none" w:sz="0" w:space="0" w:color="auto"/>
        <w:right w:val="none" w:sz="0" w:space="0" w:color="auto"/>
      </w:divBdr>
    </w:div>
    <w:div w:id="1643002128">
      <w:bodyDiv w:val="1"/>
      <w:marLeft w:val="0"/>
      <w:marRight w:val="0"/>
      <w:marTop w:val="0"/>
      <w:marBottom w:val="0"/>
      <w:divBdr>
        <w:top w:val="none" w:sz="0" w:space="0" w:color="auto"/>
        <w:left w:val="none" w:sz="0" w:space="0" w:color="auto"/>
        <w:bottom w:val="none" w:sz="0" w:space="0" w:color="auto"/>
        <w:right w:val="none" w:sz="0" w:space="0" w:color="auto"/>
      </w:divBdr>
    </w:div>
    <w:div w:id="2072848634">
      <w:bodyDiv w:val="1"/>
      <w:marLeft w:val="0"/>
      <w:marRight w:val="0"/>
      <w:marTop w:val="0"/>
      <w:marBottom w:val="0"/>
      <w:divBdr>
        <w:top w:val="none" w:sz="0" w:space="0" w:color="auto"/>
        <w:left w:val="none" w:sz="0" w:space="0" w:color="auto"/>
        <w:bottom w:val="none" w:sz="0" w:space="0" w:color="auto"/>
        <w:right w:val="none" w:sz="0" w:space="0" w:color="auto"/>
      </w:divBdr>
    </w:div>
    <w:div w:id="208414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C4834-B241-4590-9557-CBF565F91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1983</Words>
  <Characters>12383</Characters>
  <Application>Microsoft Office Word</Application>
  <DocSecurity>4</DocSecurity>
  <Lines>103</Lines>
  <Paragraphs>28</Paragraphs>
  <ScaleCrop>false</ScaleCrop>
  <HeadingPairs>
    <vt:vector size="2" baseType="variant">
      <vt:variant>
        <vt:lpstr>Naslov</vt:lpstr>
      </vt:variant>
      <vt:variant>
        <vt:i4>1</vt:i4>
      </vt:variant>
    </vt:vector>
  </HeadingPairs>
  <TitlesOfParts>
    <vt:vector size="1" baseType="lpstr">
      <vt:lpstr>Na podlagi 29</vt:lpstr>
    </vt:vector>
  </TitlesOfParts>
  <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29</dc:title>
  <dc:subject/>
  <dc:creator>Mati</dc:creator>
  <cp:keywords/>
  <dc:description/>
  <cp:lastModifiedBy>Lucija Koren</cp:lastModifiedBy>
  <cp:revision>2</cp:revision>
  <cp:lastPrinted>2023-11-21T09:19:00Z</cp:lastPrinted>
  <dcterms:created xsi:type="dcterms:W3CDTF">2024-11-17T17:51:00Z</dcterms:created>
  <dcterms:modified xsi:type="dcterms:W3CDTF">2024-11-17T17:51:00Z</dcterms:modified>
</cp:coreProperties>
</file>